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итоги </w:t>
      </w:r>
    </w:p>
    <w:p>
      <w:pPr>
        <w:pStyle w:val="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социально-экономического развития городского округа</w:t>
      </w:r>
    </w:p>
    <w:p>
      <w:pPr>
        <w:pStyle w:val="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январь-сентябрь 2024 года</w:t>
      </w:r>
    </w:p>
    <w:p>
      <w:pPr>
        <w:pStyle w:val="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социально-экономического развития края за январь-сентябрь 2024 года подготовлены на основе данных Красноярскстата. </w:t>
      </w:r>
    </w:p>
    <w:p>
      <w:pPr>
        <w:pStyle w:val="Normal"/>
        <w:widowControl w:val="false"/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отгруженных товаров по промышленным видам экономической деятельности в действующих ценах составил 121,37 млн. рублей, что выше уровня аналогичного периода 2023 года на 0,5 %.</w:t>
      </w:r>
    </w:p>
    <w:p>
      <w:pPr>
        <w:pStyle w:val="Normal"/>
        <w:widowControl w:val="false"/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январе-сентябре 2024г. на территории городского округа осуществляли деятельность 1040 </w:t>
      </w:r>
      <w:r>
        <w:rPr>
          <w:i/>
          <w:iCs/>
          <w:sz w:val="28"/>
          <w:szCs w:val="28"/>
        </w:rPr>
        <w:t>индивидуальных предпринимателей</w:t>
      </w:r>
      <w:r>
        <w:rPr>
          <w:sz w:val="28"/>
          <w:szCs w:val="28"/>
        </w:rPr>
        <w:t>, что на 1 ИП меньше, чем за аналогичный период прошлого года.</w:t>
      </w:r>
    </w:p>
    <w:p>
      <w:pPr>
        <w:pStyle w:val="Normal"/>
        <w:widowControl w:val="false"/>
        <w:pBdr>
          <w:bottom w:val="single" w:sz="4" w:space="30" w:color="FFFFFF"/>
        </w:pBdr>
        <w:tabs>
          <w:tab w:val="clear" w:pos="708"/>
          <w:tab w:val="left" w:pos="0" w:leader="none"/>
          <w:tab w:val="left" w:pos="808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Организациями городского округа использовано 888,06 млн. рублей </w:t>
      </w:r>
      <w:r>
        <w:rPr>
          <w:i/>
          <w:sz w:val="28"/>
          <w:szCs w:val="28"/>
        </w:rPr>
        <w:t>инвестиций в основной капитал</w:t>
      </w:r>
      <w:r>
        <w:rPr>
          <w:sz w:val="28"/>
          <w:szCs w:val="28"/>
        </w:rPr>
        <w:t xml:space="preserve">, что составляет 72,8% к аналогичному периоду 2023 года в сопоставимых ценах. </w:t>
      </w:r>
    </w:p>
    <w:p>
      <w:pPr>
        <w:pStyle w:val="Normal"/>
        <w:widowControl w:val="false"/>
        <w:pBdr>
          <w:bottom w:val="single" w:sz="4" w:space="30" w:color="FFFFFF"/>
        </w:pBdr>
        <w:tabs>
          <w:tab w:val="clear" w:pos="708"/>
          <w:tab w:val="left" w:pos="0" w:leader="none"/>
          <w:tab w:val="left" w:pos="8080" w:leader="none"/>
        </w:tabs>
        <w:spacing w:lineRule="auto" w:line="232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сфере жилищного строительства </w:t>
      </w:r>
      <w:r>
        <w:rPr>
          <w:rFonts w:eastAsia="Calibri"/>
          <w:i/>
          <w:sz w:val="28"/>
          <w:szCs w:val="28"/>
        </w:rPr>
        <w:t>объем введенного жилья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индивидуальными застройщиками </w:t>
      </w:r>
      <w:r>
        <w:rPr>
          <w:rFonts w:eastAsia="Calibri"/>
          <w:sz w:val="28"/>
          <w:szCs w:val="28"/>
        </w:rPr>
        <w:t xml:space="preserve">увеличился на 61,5 % к аналогичному периоду 2023 года, в городском округе введено 5308 кв. метров общей площади жилых домов. </w:t>
      </w:r>
    </w:p>
    <w:p>
      <w:pPr>
        <w:pStyle w:val="Normal"/>
        <w:widowControl w:val="false"/>
        <w:pBdr>
          <w:bottom w:val="single" w:sz="4" w:space="30" w:color="FFFFFF"/>
        </w:pBdr>
        <w:tabs>
          <w:tab w:val="clear" w:pos="708"/>
          <w:tab w:val="left" w:pos="0" w:leader="none"/>
          <w:tab w:val="left" w:pos="8080" w:leader="none"/>
        </w:tabs>
        <w:ind w:firstLine="709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 xml:space="preserve">Инфляция </w:t>
      </w:r>
      <w:r>
        <w:rPr>
          <w:i/>
          <w:sz w:val="28"/>
          <w:szCs w:val="28"/>
        </w:rPr>
        <w:t xml:space="preserve">на потребительском рынке края </w:t>
      </w:r>
      <w:r>
        <w:rPr>
          <w:sz w:val="28"/>
          <w:szCs w:val="28"/>
        </w:rPr>
        <w:t xml:space="preserve">(сводный индекс потребительских цен) за 9 месяцев 2024 года сложилась на уровне </w:t>
      </w:r>
      <w:r>
        <w:rPr>
          <w:bCs/>
          <w:sz w:val="28"/>
          <w:szCs w:val="28"/>
        </w:rPr>
        <w:t>105,39%</w:t>
      </w:r>
      <w:r>
        <w:rPr>
          <w:sz w:val="28"/>
          <w:szCs w:val="28"/>
        </w:rPr>
        <w:t xml:space="preserve"> (по отношению к декабрю 2023 года), что на 0,79 п.п. выше уровня аналогичного показателя 2023 года (104,6%). </w:t>
      </w:r>
    </w:p>
    <w:p>
      <w:pPr>
        <w:pStyle w:val="Normal"/>
        <w:widowControl w:val="false"/>
        <w:pBdr>
          <w:bottom w:val="single" w:sz="4" w:space="30" w:color="FFFFFF"/>
        </w:pBdr>
        <w:tabs>
          <w:tab w:val="clear" w:pos="708"/>
          <w:tab w:val="left" w:pos="0" w:leader="none"/>
          <w:tab w:val="left" w:pos="8080" w:leader="none"/>
        </w:tabs>
        <w:spacing w:lineRule="auto" w:line="232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По итогам девяти месяцев 2024 года </w:t>
      </w:r>
      <w:r>
        <w:rPr>
          <w:rFonts w:cs="Times New Roman CYR" w:ascii="Times New Roman CYR" w:hAnsi="Times New Roman CYR"/>
          <w:i/>
          <w:iCs/>
          <w:sz w:val="28"/>
          <w:szCs w:val="28"/>
        </w:rPr>
        <w:t>розничная торговля</w:t>
      </w:r>
      <w:r>
        <w:rPr>
          <w:rFonts w:cs="Times New Roman CYR" w:ascii="Times New Roman CYR" w:hAnsi="Times New Roman CYR"/>
          <w:sz w:val="28"/>
          <w:szCs w:val="28"/>
        </w:rPr>
        <w:t xml:space="preserve"> продемонстрировала уверенный рост, что свидетельствует о восстановлении потребительской активности. Наращивание оборота до 4378,3 млн. рублей с ростом в 24,7 % в действующих ценах по сравнению с аналогичным периодом предыдущего года стало возможным благодаря устойчивой работе малых и средних предприятий, которые сыграли ключевую роль в обеспечении доступности товаров и услуг. </w:t>
      </w:r>
    </w:p>
    <w:p>
      <w:pPr>
        <w:pStyle w:val="Normal"/>
        <w:widowControl w:val="false"/>
        <w:pBdr>
          <w:bottom w:val="single" w:sz="4" w:space="30" w:color="FFFFFF"/>
        </w:pBdr>
        <w:tabs>
          <w:tab w:val="clear" w:pos="708"/>
          <w:tab w:val="left" w:pos="0" w:leader="none"/>
          <w:tab w:val="left" w:pos="8080" w:leader="none"/>
        </w:tabs>
        <w:spacing w:lineRule="auto" w:line="232"/>
        <w:ind w:firstLine="709"/>
        <w:jc w:val="both"/>
        <w:rPr>
          <w:sz w:val="28"/>
          <w:szCs w:val="28"/>
          <w:u w:val="none" w:color="FF0000"/>
        </w:rPr>
      </w:pPr>
      <w:r>
        <w:rPr>
          <w:sz w:val="28"/>
          <w:szCs w:val="28"/>
          <w:u w:val="none" w:color="FF0000"/>
        </w:rPr>
        <w:t xml:space="preserve">Общий </w:t>
      </w:r>
      <w:r>
        <w:rPr>
          <w:i/>
          <w:iCs/>
          <w:sz w:val="28"/>
          <w:szCs w:val="28"/>
          <w:u w:val="none" w:color="FF0000"/>
        </w:rPr>
        <w:t>оборот общественного питания</w:t>
      </w:r>
      <w:r>
        <w:rPr>
          <w:sz w:val="28"/>
          <w:szCs w:val="28"/>
          <w:u w:val="none" w:color="FF0000"/>
        </w:rPr>
        <w:t xml:space="preserve"> составил 28,0 млн. рублей, что свидетельствует о сохранении устойчивости сектора. Наблюдается незначительный рост к аналогичному уровню 2023 года в действующих ценах на 0,9%.</w:t>
      </w:r>
    </w:p>
    <w:p>
      <w:pPr>
        <w:pStyle w:val="Normal"/>
        <w:widowControl w:val="false"/>
        <w:pBdr>
          <w:bottom w:val="single" w:sz="4" w:space="30" w:color="FFFFFF"/>
        </w:pBdr>
        <w:tabs>
          <w:tab w:val="clear" w:pos="708"/>
          <w:tab w:val="left" w:pos="0" w:leader="none"/>
          <w:tab w:val="left" w:pos="8080" w:leader="none"/>
        </w:tabs>
        <w:ind w:firstLine="709"/>
        <w:jc w:val="both"/>
        <w:rPr>
          <w:rStyle w:val="Rvts6"/>
        </w:rPr>
      </w:pPr>
      <w:r>
        <w:rPr>
          <w:rStyle w:val="Rvts6"/>
          <w:bCs/>
          <w:i/>
          <w:szCs w:val="28"/>
        </w:rPr>
        <w:t>Уровень</w:t>
      </w:r>
      <w:r>
        <w:rPr>
          <w:rStyle w:val="Rvts6"/>
          <w:i/>
          <w:szCs w:val="28"/>
        </w:rPr>
        <w:t xml:space="preserve"> </w:t>
      </w:r>
      <w:r>
        <w:rPr>
          <w:rStyle w:val="Rvts7"/>
          <w:b w:val="false"/>
          <w:i/>
          <w:szCs w:val="28"/>
        </w:rPr>
        <w:t>зарегистрированной безработицы</w:t>
      </w:r>
      <w:r>
        <w:rPr>
          <w:rStyle w:val="Rvts6"/>
          <w:b/>
          <w:szCs w:val="28"/>
        </w:rPr>
        <w:t xml:space="preserve"> </w:t>
      </w:r>
      <w:r>
        <w:rPr>
          <w:rStyle w:val="Rvts6"/>
          <w:szCs w:val="28"/>
        </w:rPr>
        <w:t>по состоянию на 01.09.2024 составил 0</w:t>
      </w:r>
      <w:r>
        <w:rPr>
          <w:rStyle w:val="Rvts6"/>
          <w:bCs/>
          <w:szCs w:val="28"/>
        </w:rPr>
        <w:t>,9 %</w:t>
      </w:r>
      <w:r>
        <w:rPr>
          <w:rStyle w:val="Rvts6"/>
          <w:szCs w:val="28"/>
        </w:rPr>
        <w:t xml:space="preserve"> к</w:t>
      </w:r>
      <w:r>
        <w:rPr>
          <w:sz w:val="28"/>
          <w:szCs w:val="28"/>
        </w:rPr>
        <w:t xml:space="preserve"> численности рабочей силы, </w:t>
      </w:r>
      <w:r>
        <w:rPr>
          <w:rStyle w:val="Rvts6"/>
        </w:rPr>
        <w:t xml:space="preserve">что выше среднекраевого показателя (Красноярский край – 0,6%). </w:t>
      </w:r>
    </w:p>
    <w:p>
      <w:pPr>
        <w:pStyle w:val="Normal"/>
        <w:widowControl w:val="false"/>
        <w:pBdr>
          <w:bottom w:val="single" w:sz="4" w:space="30" w:color="FFFFFF"/>
        </w:pBdr>
        <w:tabs>
          <w:tab w:val="clear" w:pos="708"/>
          <w:tab w:val="left" w:pos="0" w:leader="none"/>
          <w:tab w:val="left" w:pos="8080" w:leader="none"/>
        </w:tabs>
        <w:spacing w:lineRule="auto" w:line="232"/>
        <w:ind w:firstLine="709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>Численность безработных граждан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зарегистрированных в центре занятости населения, снизилась относительно </w:t>
      </w:r>
      <w:r>
        <w:rPr>
          <w:bCs/>
          <w:sz w:val="28"/>
          <w:szCs w:val="28"/>
        </w:rPr>
        <w:t>начала года и </w:t>
      </w:r>
      <w:r>
        <w:rPr>
          <w:sz w:val="28"/>
          <w:szCs w:val="28"/>
        </w:rPr>
        <w:t>на конец августа составила 184 ч</w:t>
      </w:r>
      <w:r>
        <w:rPr>
          <w:bCs/>
          <w:sz w:val="28"/>
          <w:szCs w:val="28"/>
        </w:rPr>
        <w:t>еловека (</w:t>
      </w:r>
      <w:r>
        <w:rPr>
          <w:sz w:val="28"/>
          <w:szCs w:val="28"/>
        </w:rPr>
        <w:t xml:space="preserve">на 01.01.2024 – 245 человек). </w:t>
      </w:r>
    </w:p>
    <w:p>
      <w:pPr>
        <w:pStyle w:val="Normal"/>
        <w:widowControl w:val="false"/>
        <w:pBdr>
          <w:bottom w:val="single" w:sz="4" w:space="30" w:color="FFFFFF"/>
        </w:pBdr>
        <w:tabs>
          <w:tab w:val="clear" w:pos="708"/>
          <w:tab w:val="left" w:pos="0" w:leader="none"/>
          <w:tab w:val="left" w:pos="8080" w:leader="none"/>
        </w:tabs>
        <w:spacing w:lineRule="auto" w:line="232"/>
        <w:ind w:firstLine="709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>Среднемесячная начисленная заработная плата</w:t>
      </w:r>
      <w:r>
        <w:rPr>
          <w:sz w:val="28"/>
          <w:szCs w:val="28"/>
        </w:rPr>
        <w:t xml:space="preserve"> одного работника </w:t>
        <w:br/>
        <w:t xml:space="preserve">за </w:t>
      </w:r>
      <w:r>
        <w:rPr>
          <w:iCs/>
          <w:sz w:val="28"/>
          <w:szCs w:val="28"/>
        </w:rPr>
        <w:t>январь-сентябрь 2024 года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составила 51734,5 рублей и увеличилась по отношению к аналогичному периоду 2023 года номинально на 12,2%, реально на 2,3%</w:t>
      </w:r>
    </w:p>
    <w:sectPr>
      <w:headerReference w:type="default" r:id="rId2"/>
      <w:type w:val="nextPage"/>
      <w:pgSz w:w="11906" w:h="16838"/>
      <w:pgMar w:left="1701" w:right="851" w:gutter="0" w:header="709" w:top="1134" w:footer="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onsolas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57823685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808b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Знак"/>
    <w:basedOn w:val="DefaultParagraphFont"/>
    <w:link w:val="PlainText"/>
    <w:uiPriority w:val="99"/>
    <w:qFormat/>
    <w:rsid w:val="00c808bb"/>
    <w:rPr>
      <w:rFonts w:ascii="Consolas" w:hAnsi="Consolas" w:eastAsia="Calibri" w:cs="Times New Roman"/>
      <w:color w:val="00000A"/>
      <w:sz w:val="21"/>
      <w:szCs w:val="21"/>
      <w:lang w:val="en-US" w:eastAsia="zh-CN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bb64a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Нижний колонтитул Знак"/>
    <w:basedOn w:val="DefaultParagraphFont"/>
    <w:uiPriority w:val="99"/>
    <w:qFormat/>
    <w:rsid w:val="00bb64a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Rvts6" w:customStyle="1">
    <w:name w:val="rvts6"/>
    <w:qFormat/>
    <w:rsid w:val="00c76760"/>
    <w:rPr>
      <w:rFonts w:ascii="Times New Roman" w:hAnsi="Times New Roman"/>
      <w:sz w:val="28"/>
    </w:rPr>
  </w:style>
  <w:style w:type="character" w:styleId="Rvts7" w:customStyle="1">
    <w:name w:val="rvts7"/>
    <w:qFormat/>
    <w:rsid w:val="00c76760"/>
    <w:rPr>
      <w:rFonts w:ascii="Times New Roman" w:hAnsi="Times New Roman"/>
      <w:b/>
      <w:sz w:val="28"/>
    </w:rPr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rsid w:val="008b2567"/>
    <w:rPr>
      <w:rFonts w:ascii="Segoe UI" w:hAnsi="Segoe UI" w:eastAsia="Times New Roman" w:cs="Segoe UI"/>
      <w:sz w:val="18"/>
      <w:szCs w:val="18"/>
      <w:lang w:eastAsia="ru-RU"/>
    </w:rPr>
  </w:style>
  <w:style w:type="character" w:styleId="Emphasis">
    <w:name w:val="Emphasis"/>
    <w:basedOn w:val="DefaultParagraphFont"/>
    <w:uiPriority w:val="20"/>
    <w:qFormat/>
    <w:rsid w:val="00584cfc"/>
    <w:rPr>
      <w:i/>
      <w:iCs/>
    </w:rPr>
  </w:style>
  <w:style w:type="character" w:styleId="Style18" w:customStyle="1">
    <w:name w:val="Абзац списка Знак"/>
    <w:basedOn w:val="DefaultParagraphFont"/>
    <w:link w:val="ListParagraph"/>
    <w:uiPriority w:val="34"/>
    <w:qFormat/>
    <w:rsid w:val="0066693b"/>
    <w:rPr>
      <w:rFonts w:ascii="Calibri" w:hAnsi="Calibri" w:eastAsia="Calibri" w:cs="Times New Roman"/>
    </w:rPr>
  </w:style>
  <w:style w:type="character" w:styleId="ConsPlusNormal" w:customStyle="1">
    <w:name w:val="ConsPlusNormal Знак"/>
    <w:link w:val="ConsPlusNormal1"/>
    <w:qFormat/>
    <w:locked/>
    <w:rsid w:val="00620d6a"/>
    <w:rPr>
      <w:rFonts w:ascii="Arial" w:hAnsi="Arial" w:eastAsia="Times New Roman" w:cs="Arial"/>
      <w:sz w:val="20"/>
      <w:szCs w:val="20"/>
      <w:lang w:eastAsia="ru-RU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qFormat/>
    <w:rsid w:val="00c808bb"/>
    <w:pPr>
      <w:spacing w:before="75" w:after="75"/>
    </w:pPr>
    <w:rPr/>
  </w:style>
  <w:style w:type="paragraph" w:styleId="PlainText">
    <w:name w:val="Plain Text"/>
    <w:basedOn w:val="Normal"/>
    <w:link w:val="Style14"/>
    <w:uiPriority w:val="99"/>
    <w:unhideWhenUsed/>
    <w:qFormat/>
    <w:rsid w:val="00c808bb"/>
    <w:pPr>
      <w:suppressAutoHyphens w:val="true"/>
    </w:pPr>
    <w:rPr>
      <w:rFonts w:ascii="Consolas" w:hAnsi="Consolas" w:eastAsia="Calibri"/>
      <w:color w:val="00000A"/>
      <w:sz w:val="21"/>
      <w:szCs w:val="21"/>
      <w:lang w:val="en-US" w:eastAsia="zh-CN"/>
    </w:rPr>
  </w:style>
  <w:style w:type="paragraph" w:styleId="Style21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bb64a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6"/>
    <w:uiPriority w:val="99"/>
    <w:unhideWhenUsed/>
    <w:rsid w:val="00bb64a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 w:customStyle="1">
    <w:name w:val="Тело"/>
    <w:basedOn w:val="Normal"/>
    <w:qFormat/>
    <w:rsid w:val="00a56d1c"/>
    <w:pPr>
      <w:ind w:firstLine="567"/>
      <w:jc w:val="both"/>
    </w:pPr>
    <w:rPr/>
  </w:style>
  <w:style w:type="paragraph" w:styleId="1" w:customStyle="1">
    <w:name w:val="Обычный1"/>
    <w:qFormat/>
    <w:rsid w:val="009d71d8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8b2567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Style18"/>
    <w:uiPriority w:val="34"/>
    <w:qFormat/>
    <w:rsid w:val="0066693b"/>
    <w:pPr>
      <w:spacing w:lineRule="auto" w:line="276" w:before="0" w:after="0"/>
      <w:ind w:left="720"/>
      <w:contextualSpacing/>
      <w:jc w:val="center"/>
    </w:pPr>
    <w:rPr>
      <w:rFonts w:ascii="Calibri" w:hAnsi="Calibri" w:eastAsia="Calibri"/>
      <w:sz w:val="22"/>
      <w:szCs w:val="22"/>
      <w:lang w:eastAsia="en-US"/>
    </w:rPr>
  </w:style>
  <w:style w:type="paragraph" w:styleId="ConsPlusNormal1" w:customStyle="1">
    <w:name w:val="ConsPlusNormal"/>
    <w:link w:val="ConsPlusNormal"/>
    <w:qFormat/>
    <w:rsid w:val="00620d6a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B7F75-FA4D-4530-9C88-8E9E1B828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Application>LibreOffice/7.6.4.1$Windows_X86_64 LibreOffice_project/e19e193f88cd6c0525a17fb7a176ed8e6a3e2aa1</Application>
  <AppVersion>15.0000</AppVersion>
  <Pages>1</Pages>
  <Words>314</Words>
  <Characters>2100</Characters>
  <CharactersWithSpaces>2410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2024-09-03T08:10:00Z</dcterms:created>
  <dc:creator>kolobova</dc:creator>
  <dc:description/>
  <dc:language>ru-RU</dc:language>
  <cp:lastModifiedBy>a21022</cp:lastModifiedBy>
  <cp:lastPrinted>2024-05-02T03:35:00Z</cp:lastPrinted>
  <dcterms:modified xsi:type="dcterms:W3CDTF">2025-01-29T04:19:00Z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