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итоги 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 городского округа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январь-июнь 2024 года</w:t>
      </w:r>
    </w:p>
    <w:p>
      <w:pPr>
        <w:pStyle w:val="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социально-экономического развития края за январь-июнь 2024 года подготовлены на основе данных Красноярскстата. 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отгруженных товаров по промышленным видам экономической деятельности в действующих ценах составил 79,84 млн. рублей, что ниже уровня аналогичного периода 2023 года на 0,8 %.</w:t>
      </w:r>
    </w:p>
    <w:p>
      <w:pPr>
        <w:pStyle w:val="Normal"/>
        <w:widowControl w:val="false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полугодии 2024г. на территории городского округа осуществляли деятельность 1043 </w:t>
      </w:r>
      <w:r>
        <w:rPr>
          <w:i/>
          <w:iCs/>
          <w:sz w:val="28"/>
          <w:szCs w:val="28"/>
        </w:rPr>
        <w:t>индивидуальных предпринимателей</w:t>
      </w:r>
      <w:r>
        <w:rPr>
          <w:sz w:val="28"/>
          <w:szCs w:val="28"/>
        </w:rPr>
        <w:t>, что на 6 ИП больше, чем за аналогичный период прошлого года.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январе-июне 2024 года организациями городского округа использовано 695,87 млн. рублей </w:t>
      </w:r>
      <w:r>
        <w:rPr>
          <w:i/>
          <w:sz w:val="28"/>
          <w:szCs w:val="28"/>
        </w:rPr>
        <w:t>инвестиций в основной капитал</w:t>
      </w:r>
      <w:r>
        <w:rPr>
          <w:sz w:val="28"/>
          <w:szCs w:val="28"/>
        </w:rPr>
        <w:t xml:space="preserve">, что составляет 99,9 % к аналогичному периоду 2023 года в сопоставимых ценах. 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spacing w:lineRule="auto" w:line="232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сфере жилищного строительства </w:t>
      </w:r>
      <w:r>
        <w:rPr>
          <w:rFonts w:eastAsia="Calibri"/>
          <w:i/>
          <w:sz w:val="28"/>
          <w:szCs w:val="28"/>
        </w:rPr>
        <w:t>объем введенного жилья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индивидуальными застройщиками </w:t>
      </w:r>
      <w:r>
        <w:rPr>
          <w:rFonts w:eastAsia="Calibri"/>
          <w:sz w:val="28"/>
          <w:szCs w:val="28"/>
        </w:rPr>
        <w:t xml:space="preserve">увеличился на 51,0 % к январю-июню 2023 года, в городском округе введено 4384 кв. метров общей площади жилых домов. 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spacing w:lineRule="auto" w:line="232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По итогам первого полугодия 2024 года </w:t>
      </w:r>
      <w:r>
        <w:rPr>
          <w:rFonts w:cs="Times New Roman CYR" w:ascii="Times New Roman CYR" w:hAnsi="Times New Roman CYR"/>
          <w:i/>
          <w:iCs/>
          <w:sz w:val="28"/>
          <w:szCs w:val="28"/>
        </w:rPr>
        <w:t>оборот розничной торговли</w:t>
      </w:r>
      <w:r>
        <w:rPr>
          <w:rFonts w:cs="Calibri" w:ascii="Calibri" w:hAnsi="Calibri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составил 2841,6 млн. рублей с увеличением в действующих ценах на 28,0</w:t>
      </w:r>
      <w:r>
        <w:rPr>
          <w:sz w:val="28"/>
          <w:szCs w:val="28"/>
        </w:rPr>
        <w:t> </w:t>
      </w:r>
      <w:r>
        <w:rPr>
          <w:rFonts w:cs="Times New Roman CYR" w:ascii="Times New Roman CYR" w:hAnsi="Times New Roman CYR"/>
          <w:sz w:val="28"/>
          <w:szCs w:val="28"/>
        </w:rPr>
        <w:t>%. Оборот розничной торговли сформирован предприятиями малого и среднего бизнеса, в том числе индивидуальными предпринимателями.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spacing w:lineRule="auto" w:line="232"/>
        <w:ind w:firstLine="709"/>
        <w:jc w:val="both"/>
        <w:rPr>
          <w:sz w:val="28"/>
          <w:szCs w:val="28"/>
          <w:u w:val="none" w:color="FF0000"/>
        </w:rPr>
      </w:pPr>
      <w:r>
        <w:rPr>
          <w:sz w:val="28"/>
          <w:szCs w:val="28"/>
          <w:u w:val="none" w:color="FF0000"/>
        </w:rPr>
        <w:t xml:space="preserve">Общий </w:t>
      </w:r>
      <w:r>
        <w:rPr>
          <w:i/>
          <w:iCs/>
          <w:sz w:val="28"/>
          <w:szCs w:val="28"/>
          <w:u w:val="none" w:color="FF0000"/>
        </w:rPr>
        <w:t>оборот общественного питания</w:t>
      </w:r>
      <w:r>
        <w:rPr>
          <w:sz w:val="28"/>
          <w:szCs w:val="28"/>
          <w:u w:val="none" w:color="FF0000"/>
        </w:rPr>
        <w:t xml:space="preserve"> составил 23,0 млн. рублей, наблюдается снижение к аналогичному уровню 2023 года в действующих ценах на 0,6%.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ind w:firstLine="709"/>
        <w:jc w:val="both"/>
        <w:rPr>
          <w:sz w:val="28"/>
          <w:szCs w:val="28"/>
        </w:rPr>
      </w:pPr>
      <w:r>
        <w:rPr>
          <w:rStyle w:val="Rvts6"/>
          <w:bCs/>
          <w:i/>
          <w:szCs w:val="28"/>
        </w:rPr>
        <w:t>Уровень</w:t>
      </w:r>
      <w:r>
        <w:rPr>
          <w:rStyle w:val="Rvts6"/>
          <w:i/>
          <w:szCs w:val="28"/>
        </w:rPr>
        <w:t xml:space="preserve"> </w:t>
      </w:r>
      <w:r>
        <w:rPr>
          <w:rStyle w:val="Rvts7"/>
          <w:b w:val="false"/>
          <w:i/>
          <w:szCs w:val="28"/>
        </w:rPr>
        <w:t>зарегистрированной безработицы</w:t>
      </w:r>
      <w:r>
        <w:rPr>
          <w:rStyle w:val="Rvts6"/>
          <w:b/>
          <w:szCs w:val="28"/>
        </w:rPr>
        <w:t xml:space="preserve"> </w:t>
      </w:r>
      <w:r>
        <w:rPr>
          <w:rStyle w:val="Rvts6"/>
          <w:szCs w:val="28"/>
        </w:rPr>
        <w:t>по состоянию на 01.07.2024 составил 0</w:t>
      </w:r>
      <w:r>
        <w:rPr>
          <w:rStyle w:val="Rvts6"/>
          <w:bCs/>
          <w:szCs w:val="28"/>
        </w:rPr>
        <w:t>,9 %</w:t>
      </w:r>
      <w:r>
        <w:rPr>
          <w:rStyle w:val="Rvts6"/>
          <w:szCs w:val="28"/>
        </w:rPr>
        <w:t xml:space="preserve"> к</w:t>
      </w:r>
      <w:r>
        <w:rPr>
          <w:sz w:val="28"/>
          <w:szCs w:val="28"/>
        </w:rPr>
        <w:t xml:space="preserve"> численности рабочей силы, что выше среднекраевого показателя (Красноярский край – 0,7%). 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spacing w:lineRule="auto" w:line="232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Численность безработных граждан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зарегистрированных в центре занятости населения, снизилась относительно </w:t>
      </w:r>
      <w:r>
        <w:rPr>
          <w:bCs/>
          <w:sz w:val="28"/>
          <w:szCs w:val="28"/>
        </w:rPr>
        <w:t>начала года и </w:t>
      </w:r>
      <w:r>
        <w:rPr>
          <w:sz w:val="28"/>
          <w:szCs w:val="28"/>
        </w:rPr>
        <w:t>на конец июня составила 198 ч</w:t>
      </w:r>
      <w:r>
        <w:rPr>
          <w:bCs/>
          <w:sz w:val="28"/>
          <w:szCs w:val="28"/>
        </w:rPr>
        <w:t>еловек (</w:t>
      </w:r>
      <w:r>
        <w:rPr>
          <w:sz w:val="28"/>
          <w:szCs w:val="28"/>
        </w:rPr>
        <w:t xml:space="preserve">на 01.01.2024 – 245 человек). 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Среднемесячная начисленная заработная плата</w:t>
      </w:r>
      <w:r>
        <w:rPr>
          <w:sz w:val="28"/>
          <w:szCs w:val="28"/>
        </w:rPr>
        <w:t xml:space="preserve"> одного работника </w:t>
        <w:br/>
        <w:t xml:space="preserve">за </w:t>
      </w:r>
      <w:r>
        <w:rPr>
          <w:iCs/>
          <w:sz w:val="28"/>
          <w:szCs w:val="28"/>
        </w:rPr>
        <w:t>январь-июнь 2024 года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составила 53516,50 рублей и увеличилась по отношению к аналогичному периоду 2023 года номинально на 11,8 %, реально – </w:t>
      </w:r>
      <w:r>
        <w:rPr>
          <w:bCs/>
          <w:sz w:val="28"/>
          <w:szCs w:val="28"/>
        </w:rPr>
        <w:t>на 2,9</w:t>
      </w:r>
      <w:r>
        <w:rPr>
          <w:sz w:val="28"/>
          <w:szCs w:val="28"/>
        </w:rPr>
        <w:t xml:space="preserve"> % (по Красноярскому краю 90 758,8 рубля и увеличилась по отношению к аналогичному периоду 2023 года номинально на 17,6 %, реально – </w:t>
      </w:r>
      <w:r>
        <w:rPr>
          <w:bCs/>
          <w:sz w:val="28"/>
          <w:szCs w:val="28"/>
        </w:rPr>
        <w:t>на 8,2</w:t>
      </w:r>
      <w:r>
        <w:rPr>
          <w:sz w:val="28"/>
          <w:szCs w:val="28"/>
        </w:rPr>
        <w:t xml:space="preserve"> % , по России – 83 582,0 рублей, номинальный прирост –18,1 %, реальный – на 9,4 %). 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Инфляция </w:t>
      </w:r>
      <w:r>
        <w:rPr>
          <w:i/>
          <w:sz w:val="28"/>
          <w:szCs w:val="28"/>
        </w:rPr>
        <w:t xml:space="preserve">на потребительском рынке края </w:t>
      </w:r>
      <w:r>
        <w:rPr>
          <w:sz w:val="28"/>
          <w:szCs w:val="28"/>
        </w:rPr>
        <w:t xml:space="preserve">(сводный индекс потребительских цен) за июнь 2024 года сложилась на уровне </w:t>
      </w:r>
      <w:r>
        <w:rPr>
          <w:bCs/>
          <w:sz w:val="28"/>
          <w:szCs w:val="28"/>
        </w:rPr>
        <w:t>103,3 %</w:t>
      </w:r>
      <w:r>
        <w:rPr>
          <w:sz w:val="28"/>
          <w:szCs w:val="28"/>
        </w:rPr>
        <w:t xml:space="preserve"> (по отношению к декабрю 2023 года), что на 1,1 п.п. выше уровня аналогичного показателя 2023 года (102,2 %). </w:t>
      </w:r>
    </w:p>
    <w:p>
      <w:pPr>
        <w:pStyle w:val="Normal"/>
        <w:widowControl w:val="false"/>
        <w:pBdr>
          <w:bottom w:val="single" w:sz="4" w:space="30" w:color="FFFFFF"/>
        </w:pBdr>
        <w:tabs>
          <w:tab w:val="clear" w:pos="708"/>
          <w:tab w:val="left" w:pos="0" w:leader="none"/>
          <w:tab w:val="left" w:pos="808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Краевая инфляция сложилась ниже общероссийского уровня (103,9 %) и уровня по Сибирскому федеральному округу (103,4 %). </w:t>
      </w:r>
    </w:p>
    <w:sectPr>
      <w:headerReference w:type="default" r:id="rId2"/>
      <w:type w:val="nextPage"/>
      <w:pgSz w:w="11906" w:h="16838"/>
      <w:pgMar w:left="1418" w:right="849" w:gutter="0" w:header="708" w:top="993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782368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08b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qFormat/>
    <w:rsid w:val="00c808bb"/>
    <w:rPr>
      <w:rFonts w:ascii="Consolas" w:hAnsi="Consolas" w:eastAsia="Calibri" w:cs="Times New Roman"/>
      <w:color w:val="00000A"/>
      <w:sz w:val="21"/>
      <w:szCs w:val="21"/>
      <w:lang w:val="en-US" w:eastAsia="zh-CN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bb64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bb64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Rvts6" w:customStyle="1">
    <w:name w:val="rvts6"/>
    <w:qFormat/>
    <w:rsid w:val="00c76760"/>
    <w:rPr>
      <w:rFonts w:ascii="Times New Roman" w:hAnsi="Times New Roman"/>
      <w:sz w:val="28"/>
    </w:rPr>
  </w:style>
  <w:style w:type="character" w:styleId="Rvts7" w:customStyle="1">
    <w:name w:val="rvts7"/>
    <w:qFormat/>
    <w:rsid w:val="00c76760"/>
    <w:rPr>
      <w:rFonts w:ascii="Times New Roman" w:hAnsi="Times New Roman"/>
      <w:b/>
      <w:sz w:val="28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8b2567"/>
    <w:rPr>
      <w:rFonts w:ascii="Segoe UI" w:hAnsi="Segoe UI" w:eastAsia="Times New Roman" w:cs="Segoe UI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584cfc"/>
    <w:rPr>
      <w:i/>
      <w:iCs/>
    </w:rPr>
  </w:style>
  <w:style w:type="character" w:styleId="Style18" w:customStyle="1">
    <w:name w:val="Абзац списка Знак"/>
    <w:basedOn w:val="DefaultParagraphFont"/>
    <w:link w:val="ListParagraph"/>
    <w:uiPriority w:val="34"/>
    <w:qFormat/>
    <w:rsid w:val="0066693b"/>
    <w:rPr>
      <w:rFonts w:ascii="Calibri" w:hAnsi="Calibri" w:eastAsia="Calibri" w:cs="Times New Roman"/>
    </w:rPr>
  </w:style>
  <w:style w:type="character" w:styleId="ConsPlusNormal" w:customStyle="1">
    <w:name w:val="ConsPlusNormal Знак"/>
    <w:link w:val="ConsPlusNormal1"/>
    <w:qFormat/>
    <w:locked/>
    <w:rsid w:val="00620d6a"/>
    <w:rPr>
      <w:rFonts w:ascii="Arial" w:hAnsi="Arial" w:eastAsia="Times New Roman" w:cs="Arial"/>
      <w:sz w:val="20"/>
      <w:szCs w:val="20"/>
      <w:lang w:eastAsia="ru-RU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c808bb"/>
    <w:pPr>
      <w:spacing w:before="75" w:after="75"/>
    </w:pPr>
    <w:rPr/>
  </w:style>
  <w:style w:type="paragraph" w:styleId="PlainText">
    <w:name w:val="Plain Text"/>
    <w:basedOn w:val="Normal"/>
    <w:link w:val="Style14"/>
    <w:uiPriority w:val="99"/>
    <w:unhideWhenUsed/>
    <w:qFormat/>
    <w:rsid w:val="00c808bb"/>
    <w:pPr>
      <w:suppressAutoHyphens w:val="true"/>
    </w:pPr>
    <w:rPr>
      <w:rFonts w:ascii="Consolas" w:hAnsi="Consolas" w:eastAsia="Calibri"/>
      <w:color w:val="00000A"/>
      <w:sz w:val="21"/>
      <w:szCs w:val="21"/>
      <w:lang w:val="en-US" w:eastAsia="zh-CN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bb64a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semiHidden/>
    <w:unhideWhenUsed/>
    <w:rsid w:val="00bb64a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 w:customStyle="1">
    <w:name w:val="Тело"/>
    <w:basedOn w:val="Normal"/>
    <w:qFormat/>
    <w:rsid w:val="00a56d1c"/>
    <w:pPr>
      <w:ind w:firstLine="567"/>
      <w:jc w:val="both"/>
    </w:pPr>
    <w:rPr/>
  </w:style>
  <w:style w:type="paragraph" w:styleId="1" w:customStyle="1">
    <w:name w:val="Обычный1"/>
    <w:qFormat/>
    <w:rsid w:val="009d71d8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8b2567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Style18"/>
    <w:uiPriority w:val="34"/>
    <w:qFormat/>
    <w:rsid w:val="0066693b"/>
    <w:pPr>
      <w:spacing w:lineRule="auto" w:line="276" w:before="0" w:after="0"/>
      <w:ind w:left="720"/>
      <w:contextualSpacing/>
      <w:jc w:val="center"/>
    </w:pPr>
    <w:rPr>
      <w:rFonts w:ascii="Calibri" w:hAnsi="Calibri" w:eastAsia="Calibri"/>
      <w:sz w:val="22"/>
      <w:szCs w:val="22"/>
      <w:lang w:eastAsia="en-US"/>
    </w:rPr>
  </w:style>
  <w:style w:type="paragraph" w:styleId="ConsPlusNormal1" w:customStyle="1">
    <w:name w:val="ConsPlusNormal"/>
    <w:link w:val="ConsPlusNormal"/>
    <w:qFormat/>
    <w:rsid w:val="00620d6a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7F75-FA4D-4530-9C88-8E9E1B82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LibreOffice/7.6.4.1$Windows_X86_64 LibreOffice_project/e19e193f88cd6c0525a17fb7a176ed8e6a3e2aa1</Application>
  <AppVersion>15.0000</AppVersion>
  <Pages>1</Pages>
  <Words>346</Words>
  <Characters>2168</Characters>
  <CharactersWithSpaces>2514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2024-09-03T08:10:00Z</dcterms:created>
  <dc:creator>kolobova</dc:creator>
  <dc:description/>
  <dc:language>ru-RU</dc:language>
  <cp:lastModifiedBy/>
  <cp:lastPrinted>2024-10-22T03:16:00Z</cp:lastPrinted>
  <dcterms:modified xsi:type="dcterms:W3CDTF">2024-10-22T10:55:58Z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