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итоги 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развития городского округа 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январь-март 2024 года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социально-экономического развития края за январь-март 2024 года подготовлены на основе данных Красноярскстата. 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Объем отгруженных товаров по промышленным</w:t>
      </w:r>
      <w:r>
        <w:rPr>
          <w:sz w:val="28"/>
          <w:szCs w:val="28"/>
        </w:rPr>
        <w:t xml:space="preserve"> видам экономической деятельности в действующих ценах составил 39,21 млн. рублей, что ниже уровня аналогичного периода 2023 года на 3,2 %.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bookmarkStart w:id="0" w:name="_Hlk180478322"/>
      <w:r>
        <w:rPr>
          <w:sz w:val="28"/>
          <w:szCs w:val="28"/>
        </w:rPr>
        <w:t xml:space="preserve">По состоянию на 01.04.2024г. на территории городского округа осуществляли деятельность 1048 </w:t>
      </w:r>
      <w:r>
        <w:rPr>
          <w:i/>
          <w:iCs/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>, что на 37 ИП больше, чем за аналогичный период прошлого года.</w:t>
      </w:r>
      <w:bookmarkEnd w:id="0"/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январе-марте 2024 года организациями городского округа использовано 422,33 млн. рублей </w:t>
      </w:r>
      <w:r>
        <w:rPr>
          <w:i/>
          <w:sz w:val="28"/>
          <w:szCs w:val="28"/>
        </w:rPr>
        <w:t>инвестиций в основной капитал</w:t>
      </w:r>
      <w:r>
        <w:rPr>
          <w:sz w:val="28"/>
          <w:szCs w:val="28"/>
        </w:rPr>
        <w:t xml:space="preserve">, что составляет 183,07 % к аналогичному периоду 2023 года в сопоставимых ценах.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сфере жилищного строительства </w:t>
      </w:r>
      <w:r>
        <w:rPr>
          <w:rFonts w:eastAsia="Calibri"/>
          <w:i/>
          <w:sz w:val="28"/>
          <w:szCs w:val="28"/>
        </w:rPr>
        <w:t>объем введенного жилья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 застройщиками превысил уровень января-марта 2023 года в 2,3 раза и составил 2975 кв. метров общей площади жилых домов.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_Hlk180478371"/>
      <w:r>
        <w:rPr>
          <w:rFonts w:cs="Times New Roman CYR" w:ascii="Times New Roman CYR" w:hAnsi="Times New Roman CYR"/>
          <w:sz w:val="28"/>
          <w:szCs w:val="28"/>
        </w:rPr>
        <w:t xml:space="preserve">По итогам первого квартала 2024 года </w:t>
      </w:r>
      <w:r>
        <w:rPr>
          <w:rFonts w:cs="Times New Roman CYR" w:ascii="Times New Roman CYR" w:hAnsi="Times New Roman CYR"/>
          <w:i/>
          <w:iCs/>
          <w:sz w:val="28"/>
          <w:szCs w:val="28"/>
        </w:rPr>
        <w:t>оборот розничной торговли</w:t>
      </w:r>
      <w:r>
        <w:rPr>
          <w:rFonts w:cs="Calibri" w:ascii="Calibri" w:hAnsi="Calibri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составил 1362,70 млн. рублей с увеличением в действующих ценах на 29,6</w:t>
      </w:r>
      <w:r>
        <w:rPr>
          <w:sz w:val="28"/>
          <w:szCs w:val="28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%. Оборот розничной торговли сформирован предприятиями малого и среднего бизнеса, в том числе индивидуальными предпринимателями.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sz w:val="28"/>
          <w:szCs w:val="28"/>
          <w:u w:val="none" w:color="FF0000"/>
        </w:rPr>
      </w:pPr>
      <w:r>
        <w:rPr>
          <w:sz w:val="28"/>
          <w:szCs w:val="28"/>
          <w:u w:val="none" w:color="FF0000"/>
        </w:rPr>
        <w:t xml:space="preserve">Общий </w:t>
      </w:r>
      <w:r>
        <w:rPr>
          <w:i/>
          <w:iCs/>
          <w:sz w:val="28"/>
          <w:szCs w:val="28"/>
          <w:u w:val="none" w:color="FF0000"/>
        </w:rPr>
        <w:t>оборот общественного питания</w:t>
      </w:r>
      <w:r>
        <w:rPr>
          <w:sz w:val="28"/>
          <w:szCs w:val="28"/>
          <w:u w:val="none" w:color="FF0000"/>
        </w:rPr>
        <w:t xml:space="preserve"> за январь-март 2024 года составил 13,6 млн. рублей, наблюдается снижение к аналогичному периоду 2023 года в действующих ценах на 1,3%.</w:t>
      </w:r>
      <w:bookmarkEnd w:id="1"/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sz w:val="28"/>
          <w:szCs w:val="28"/>
        </w:rPr>
      </w:pPr>
      <w:r>
        <w:rPr>
          <w:rStyle w:val="Rvts6"/>
          <w:bCs/>
          <w:i/>
          <w:szCs w:val="28"/>
        </w:rPr>
        <w:t>Уровень</w:t>
      </w:r>
      <w:r>
        <w:rPr>
          <w:rStyle w:val="Rvts6"/>
          <w:i/>
          <w:szCs w:val="28"/>
        </w:rPr>
        <w:t xml:space="preserve"> </w:t>
      </w:r>
      <w:r>
        <w:rPr>
          <w:rStyle w:val="Rvts7"/>
          <w:b w:val="false"/>
          <w:i/>
          <w:szCs w:val="28"/>
        </w:rPr>
        <w:t>зарегистрированной безработицы</w:t>
      </w:r>
      <w:r>
        <w:rPr>
          <w:rStyle w:val="Rvts6"/>
          <w:b/>
          <w:szCs w:val="28"/>
        </w:rPr>
        <w:t xml:space="preserve"> </w:t>
      </w:r>
      <w:r>
        <w:rPr>
          <w:rStyle w:val="Rvts6"/>
          <w:szCs w:val="28"/>
        </w:rPr>
        <w:t xml:space="preserve">по состоянию на 01.04.2024 составил </w:t>
      </w:r>
      <w:r>
        <w:rPr>
          <w:rStyle w:val="Rvts6"/>
          <w:bCs/>
          <w:szCs w:val="28"/>
        </w:rPr>
        <w:t>1,0 %</w:t>
      </w:r>
      <w:r>
        <w:rPr>
          <w:rStyle w:val="Rvts6"/>
          <w:szCs w:val="28"/>
        </w:rPr>
        <w:t xml:space="preserve"> к</w:t>
      </w:r>
      <w:r>
        <w:rPr>
          <w:sz w:val="28"/>
          <w:szCs w:val="28"/>
        </w:rPr>
        <w:t xml:space="preserve"> численности рабочей силы, что выше уровня среднекраевого показателя (Красноярский край – 0,6 %).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Численность безработных граждан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зарегистрированных в центре занятости населения, снизилась относительно </w:t>
      </w:r>
      <w:r>
        <w:rPr>
          <w:bCs/>
          <w:sz w:val="28"/>
          <w:szCs w:val="28"/>
        </w:rPr>
        <w:t>начала года и </w:t>
      </w:r>
      <w:r>
        <w:rPr>
          <w:sz w:val="28"/>
          <w:szCs w:val="28"/>
        </w:rPr>
        <w:t>на конец марта составила 222</w:t>
      </w:r>
      <w:r>
        <w:rPr>
          <w:bCs/>
          <w:sz w:val="28"/>
          <w:szCs w:val="28"/>
        </w:rPr>
        <w:t> человек (</w:t>
      </w:r>
      <w:r>
        <w:rPr>
          <w:sz w:val="28"/>
          <w:szCs w:val="28"/>
        </w:rPr>
        <w:t xml:space="preserve">на 01.01.2024 – 245 человек).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Среднемесячная начисленная заработная плата</w:t>
      </w:r>
      <w:r>
        <w:rPr>
          <w:sz w:val="28"/>
          <w:szCs w:val="28"/>
        </w:rPr>
        <w:t xml:space="preserve"> одного работника </w:t>
        <w:br/>
        <w:t xml:space="preserve">за </w:t>
      </w:r>
      <w:r>
        <w:rPr>
          <w:iCs/>
          <w:sz w:val="28"/>
          <w:szCs w:val="28"/>
        </w:rPr>
        <w:t>январь-март 2024 года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составила 49947,80 рубля и увеличилась по отношению к аналогичному периоду 2023 года номинально на 13,3 %, реально – </w:t>
      </w:r>
      <w:r>
        <w:rPr>
          <w:bCs/>
          <w:sz w:val="28"/>
          <w:szCs w:val="28"/>
        </w:rPr>
        <w:t>на 4,5</w:t>
      </w:r>
      <w:r>
        <w:rPr>
          <w:sz w:val="28"/>
          <w:szCs w:val="28"/>
        </w:rPr>
        <w:t xml:space="preserve"> % (по Красноярскому краю январь-февраль 2024 года – 88106,4 рублей, номинальный прирост –21,0 %, реальный – на 11,6%).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Инфляция </w:t>
      </w:r>
      <w:r>
        <w:rPr>
          <w:i/>
          <w:sz w:val="28"/>
          <w:szCs w:val="28"/>
        </w:rPr>
        <w:t xml:space="preserve">на потребительском рынке края </w:t>
      </w:r>
      <w:r>
        <w:rPr>
          <w:sz w:val="28"/>
          <w:szCs w:val="28"/>
        </w:rPr>
        <w:t xml:space="preserve">(сводный индекс потребительских цен) за март 2024 года сложилась на уровне </w:t>
      </w:r>
      <w:r>
        <w:rPr>
          <w:bCs/>
          <w:sz w:val="28"/>
          <w:szCs w:val="28"/>
        </w:rPr>
        <w:t>101,9 %</w:t>
      </w:r>
      <w:r>
        <w:rPr>
          <w:sz w:val="28"/>
          <w:szCs w:val="28"/>
        </w:rPr>
        <w:t xml:space="preserve"> (по отношению к декабрю 2023 года), что на 0,6 п.п. выше уровня аналогичного показателя 2023 года (101,3 %).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Краевая инфляция сложилась на уровне среднего значения по Сибирскому федеральному округу (101,9 %) и ниже общероссийского уровня (102,0 %).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type w:val="nextPage"/>
      <w:pgSz w:w="11906" w:h="16838"/>
      <w:pgMar w:left="1418" w:right="849" w:gutter="0" w:header="708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782368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08b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qFormat/>
    <w:rsid w:val="00c808bb"/>
    <w:rPr>
      <w:rFonts w:ascii="Consolas" w:hAnsi="Consolas" w:eastAsia="Calibri" w:cs="Times New Roman"/>
      <w:color w:val="00000A"/>
      <w:sz w:val="21"/>
      <w:szCs w:val="21"/>
      <w:lang w:val="en-US" w:eastAsia="zh-CN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b64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b64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Rvts6" w:customStyle="1">
    <w:name w:val="rvts6"/>
    <w:qFormat/>
    <w:rsid w:val="00c76760"/>
    <w:rPr>
      <w:rFonts w:ascii="Times New Roman" w:hAnsi="Times New Roman"/>
      <w:sz w:val="28"/>
    </w:rPr>
  </w:style>
  <w:style w:type="character" w:styleId="Rvts7" w:customStyle="1">
    <w:name w:val="rvts7"/>
    <w:qFormat/>
    <w:rsid w:val="00c76760"/>
    <w:rPr>
      <w:rFonts w:ascii="Times New Roman" w:hAnsi="Times New Roman"/>
      <w:b/>
      <w:sz w:val="28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8b2567"/>
    <w:rPr>
      <w:rFonts w:ascii="Segoe UI" w:hAnsi="Segoe UI" w:eastAsia="Times New Roman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584cfc"/>
    <w:rPr>
      <w:i/>
      <w:iCs/>
    </w:rPr>
  </w:style>
  <w:style w:type="character" w:styleId="Style18" w:customStyle="1">
    <w:name w:val="Абзац списка Знак"/>
    <w:basedOn w:val="DefaultParagraphFont"/>
    <w:link w:val="ListParagraph"/>
    <w:uiPriority w:val="34"/>
    <w:qFormat/>
    <w:rsid w:val="0066693b"/>
    <w:rPr>
      <w:rFonts w:ascii="Calibri" w:hAnsi="Calibri" w:eastAsia="Calibri" w:cs="Times New Roman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c808bb"/>
    <w:pPr>
      <w:spacing w:before="75" w:after="75"/>
    </w:pPr>
    <w:rPr/>
  </w:style>
  <w:style w:type="paragraph" w:styleId="PlainText">
    <w:name w:val="Plain Text"/>
    <w:basedOn w:val="Normal"/>
    <w:link w:val="Style14"/>
    <w:uiPriority w:val="99"/>
    <w:unhideWhenUsed/>
    <w:qFormat/>
    <w:rsid w:val="00c808bb"/>
    <w:pPr>
      <w:suppressAutoHyphens w:val="true"/>
    </w:pPr>
    <w:rPr>
      <w:rFonts w:ascii="Consolas" w:hAnsi="Consolas" w:eastAsia="Calibri"/>
      <w:color w:val="00000A"/>
      <w:sz w:val="21"/>
      <w:szCs w:val="21"/>
      <w:lang w:val="en-US" w:eastAsia="zh-CN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bb64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semiHidden/>
    <w:unhideWhenUsed/>
    <w:rsid w:val="00bb64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 w:customStyle="1">
    <w:name w:val="Тело"/>
    <w:basedOn w:val="Normal"/>
    <w:qFormat/>
    <w:rsid w:val="00a56d1c"/>
    <w:pPr>
      <w:ind w:firstLine="567"/>
      <w:jc w:val="both"/>
    </w:pPr>
    <w:rPr/>
  </w:style>
  <w:style w:type="paragraph" w:styleId="1" w:customStyle="1">
    <w:name w:val="Обычный1"/>
    <w:qFormat/>
    <w:rsid w:val="009d71d8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8b2567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Style18"/>
    <w:uiPriority w:val="34"/>
    <w:qFormat/>
    <w:rsid w:val="0066693b"/>
    <w:pPr>
      <w:spacing w:lineRule="auto" w:line="276" w:before="0" w:after="0"/>
      <w:ind w:left="720"/>
      <w:contextualSpacing/>
      <w:jc w:val="center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E03D6-09EB-471B-BE18-44722276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LibreOffice/7.6.4.1$Windows_X86_64 LibreOffice_project/e19e193f88cd6c0525a17fb7a176ed8e6a3e2aa1</Application>
  <AppVersion>15.0000</AppVersion>
  <Pages>1</Pages>
  <Words>331</Words>
  <Characters>2131</Characters>
  <CharactersWithSpaces>2461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2024-05-29T05:24:00Z</dcterms:created>
  <dc:creator>kolobova</dc:creator>
  <dc:description/>
  <dc:language>ru-RU</dc:language>
  <cp:lastModifiedBy>a21022</cp:lastModifiedBy>
  <cp:lastPrinted>2024-05-02T03:35:00Z</cp:lastPrinted>
  <dcterms:modified xsi:type="dcterms:W3CDTF">2024-10-22T03:18:00Z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