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ind w:hanging="10490" w:left="10490"/>
        <w:rPr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>
      <w:pPr>
        <w:pStyle w:val="Normal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в Красноярском крае </w:t>
      </w:r>
    </w:p>
    <w:p>
      <w:pPr>
        <w:pStyle w:val="Normal"/>
        <w:jc w:val="center"/>
        <w:rPr/>
      </w:pPr>
      <w:r>
        <w:rPr>
          <w:rFonts w:cs="Times New Roman"/>
          <w:color w:val="000000"/>
          <w:szCs w:val="28"/>
        </w:rPr>
        <w:t>за 2024 год</w:t>
      </w:r>
    </w:p>
    <w:p>
      <w:pPr>
        <w:pStyle w:val="Normal"/>
        <w:jc w:val="center"/>
        <w:rPr>
          <w:rFonts w:cs="Times New Roman"/>
          <w:color w:val="000000"/>
          <w:szCs w:val="28"/>
        </w:rPr>
      </w:pPr>
      <w:r>
        <w:rPr/>
      </w:r>
    </w:p>
    <w:p>
      <w:pPr>
        <w:pStyle w:val="Normal"/>
        <w:rPr/>
      </w:pPr>
      <w:r>
        <w:rPr/>
      </w:r>
    </w:p>
    <w:tbl>
      <w:tblPr>
        <w:tblW w:w="15031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7"/>
        <w:gridCol w:w="3398"/>
        <w:gridCol w:w="3796"/>
        <w:gridCol w:w="4148"/>
        <w:gridCol w:w="2832"/>
      </w:tblGrid>
      <w:tr>
        <w:trPr>
          <w:trHeight w:val="537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Направление системного мероприятия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Результат выполнения мероприятий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Источник данных</w:t>
            </w:r>
          </w:p>
        </w:tc>
      </w:tr>
      <w:tr>
        <w:trPr>
          <w:trHeight w:val="791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Определения потребности в предоставлении мест под размещение нестационарных торговых объектов.</w:t>
              <w:br/>
              <w:t>Подбор и включение (в случае необходимости) в схему размещения дополнительных мест для размещения нестационарных торговых объектов; своевременной актуализации схем размещения нестационарных торговых объектов</w:t>
              <w:br/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Подбор и включение в схему размещения дополнительных мест для размещения нестационарных торговых объектов; своевременной актуализации схем размещения нестационарных торговых объектов.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 2024 году в схему размещения нестационарных торговых объектов на территории города Шарыпово включено 5 новых мест для размещения нестационарных торговых объектов (киосков, павильонов и др.). 4 места из схемы размещения НТО исключены.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Создание условий для развития конкуренции на рынке социальных услуг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Муниципальная поддержка социально ориентированных некоммерческих организаций (СО НКО) в рамках муниципальных программ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Получили финансовую поддержку 8 СОНКО на реализацию 18 социально значимых проектов в размере 1 289 218, 42 рублей.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Протокол заседания конкурсной комиссии по рассмотрению грантовых заявок на право получения социального гранта в форме субсидий на реализацию социально значимых проектов в 2024 году № 1, № 2,</w:t>
              <w:br/>
              <w:t>№ 3</w:t>
            </w:r>
          </w:p>
        </w:tc>
      </w:tr>
      <w:tr>
        <w:trPr>
          <w:trHeight w:val="731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Информирование субъектов предпринимательской деятельности о мерах, принимаемых органами местного самоуправления в целях улучшения условий ведения бизнеса, посредством проведения круглых столов, на официальном сайте, социальных сетях и по электронной почте предпринимателей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Организация и проведение общественных и деловых мероприятий предпринимателей, предпринимательских</w:t>
              <w:br/>
              <w:t>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Систематически размещаются публикаций в СМИ, в соц. сетях и на сайте муниципального образования города Шарыпово (https://sharypovo.gosuslugi.ru) во вкладке «Новости» - «Бизнес и предпринимательство»,</w:t>
              <w:br/>
              <w:t>консультации.</w:t>
              <w:br/>
              <w:t>Проведено 3 мероприятия в рамках проведения «Дней предпринимательства» 14-31 мая 2024 года.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Сайт муниципального образования города Шарыпово https://sharypovo.gosuslugi.ru</w:t>
            </w:r>
          </w:p>
        </w:tc>
      </w:tr>
      <w:tr>
        <w:trPr>
          <w:trHeight w:val="791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Финансовая поддержка СМСП на возмещение затрат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Проведение конкурса отбора  СМСП в рамках муниципальной программы.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Предоставление субсидии субъектам МСП и физическим лицам, применяющим специальный налоговый режим «Налог на профессиональный доход» на возмещение части затрат при осуществлении предпринимательской деятельности.</w:t>
              <w:br/>
              <w:t>Получили финансовую поддержку 4 субъекта МСП в размере 1 807 669,00 руб.</w:t>
              <w:br/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Протоколы заседания комиссии по рассмотрению заявок о предоставлении субсидии субъектам МСП и физическим лицам, применяющим специальный налоговый режим «Налог на профессиональный доход»</w:t>
              <w:br/>
              <w:t>№ 01 от 22.03.2024,</w:t>
              <w:br/>
              <w:t xml:space="preserve"> № 02 от 07.06.2024</w:t>
            </w:r>
          </w:p>
        </w:tc>
      </w:tr>
      <w:tr>
        <w:trPr>
          <w:trHeight w:val="537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Повышение информационной открытости деятельности Администрации города Шарыпово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Ведение на сайте муниципального образования города Шарыпово (https://sharypovo.gosuslugi.ru)  раздела о реализации мероприятий государственной политики по развитию конкуренции.</w:t>
              <w:br/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Систематические публикации и актуализация информации, размещенной на сайте.</w:t>
              <w:br/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Сайт муниципального образования города Шарыпово</w:t>
              <w:br/>
              <w:t>https://sharypovo.gosuslugi.ru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Доля закупок товаров, работ, услуг у СМП в совокупном годовом объеме закупок, рассчитанном с учетом требований части 1.1 статьи 30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Процедура проведения торгов в открытом доступе ЕИС «Портал закупок».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 отчетный период 2024 года доля закупок товаров, работ, услуг у СМП в совокупном годовом объеме закупок составила – 58 %.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Единая информационная система</w:t>
            </w:r>
          </w:p>
        </w:tc>
      </w:tr>
      <w:tr>
        <w:trPr>
          <w:trHeight w:val="537" w:hRule="atLeast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3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  <w:br/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Развитие конкуренции при осуществлении процедур муниципальных закупок.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left"/>
              <w:rPr/>
            </w:pPr>
            <w:r>
              <w:rPr/>
              <w:t>За 2024 год большая доля закупок осуществлена у СМП от совокупного годового объема закупок.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jc w:val="center"/>
              <w:rPr/>
            </w:pPr>
            <w:r>
              <w:rPr/>
              <w:t>Единая информационная система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843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7480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1" w:customStyle="1">
    <w:name w:val="Body Text Indent Char1"/>
    <w:link w:val="1"/>
    <w:qFormat/>
    <w:rsid w:val="00e67480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ConsNormal" w:customStyle="1">
    <w:name w:val="ConsNormal Знак"/>
    <w:link w:val="ConsNormal1"/>
    <w:qFormat/>
    <w:rsid w:val="00f206ad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5413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4134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сновной текст с отступом1"/>
    <w:basedOn w:val="Normal"/>
    <w:link w:val="BodyTextIndentChar1"/>
    <w:qFormat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paragraph" w:styleId="ConsNormal1" w:customStyle="1">
    <w:name w:val="ConsNormal"/>
    <w:link w:val="ConsNormal"/>
    <w:qFormat/>
    <w:rsid w:val="00f206ad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LibreOffice/7.6.4.1$Windows_X86_64 LibreOffice_project/e19e193f88cd6c0525a17fb7a176ed8e6a3e2aa1</Application>
  <AppVersion>15.0000</AppVersion>
  <Pages>4</Pages>
  <Words>521</Words>
  <Characters>3761</Characters>
  <CharactersWithSpaces>4251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2022-10-20T03:00:00Z</dcterms:created>
  <dc:creator>Крапошина Мария Юрьевна</dc:creator>
  <dc:description/>
  <dc:language>ru-RU</dc:language>
  <cp:lastModifiedBy/>
  <cp:lastPrinted>2025-01-23T07:27:00Z</cp:lastPrinted>
  <dcterms:modified xsi:type="dcterms:W3CDTF">2025-01-24T11:48:54Z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