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jpeg" ContentType="image/jpeg"/>
  <Override PartName="/word/media/image12.png" ContentType="image/png"/>
  <Override PartName="/word/media/image7.png" ContentType="image/png"/>
  <Override PartName="/word/media/image3.png" ContentType="image/png"/>
  <Override PartName="/word/media/hdphoto1.wdp" ContentType="image/vnd.ms-photo"/>
  <Override PartName="/word/media/image4.png" ContentType="image/png"/>
  <Override PartName="/word/media/image5.png" ContentType="image/png"/>
  <Override PartName="/word/media/image10.png" ContentType="image/png"/>
  <Override PartName="/word/media/image6.png" ContentType="image/png"/>
  <Override PartName="/word/media/image11.png" ContentType="image/png"/>
  <Override PartName="/word/media/image8.png" ContentType="image/png"/>
  <Override PartName="/word/media/image9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sectPr>
          <w:type w:val="nextPage"/>
          <w:pgSz w:orient="landscape" w:w="16838" w:h="11906"/>
          <w:pgMar w:left="851" w:right="1134" w:gutter="0" w:header="0" w:top="709" w:footer="0" w:bottom="850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/>
        <w:drawing>
          <wp:inline distT="0" distB="0" distL="0" distR="0">
            <wp:extent cx="9968230" cy="5934075"/>
            <wp:effectExtent l="0" t="0" r="0" b="0"/>
            <wp:docPr id="1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14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8230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Приветственное слово</w:t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Главы города Шарыпово</w:t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Уважаемые инвесторы, партнёры!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0" distT="0" distB="0" distL="0" distR="114300" simplePos="0" locked="0" layoutInCell="0" allowOverlap="1" relativeHeight="1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066925" cy="2192020"/>
            <wp:effectExtent l="0" t="0" r="0" b="0"/>
            <wp:wrapSquare wrapText="bothSides"/>
            <wp:docPr id="2" name="Рисунок 1" descr="C:\Users\rev\Downloads\_MG_172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rev\Downloads\_MG_1729 (1)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8963" t="5884" r="0" b="29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Информационная открытость – один из важных факторов формирования инвестиционно-привлекательного имиджа территории. Мы хорошо понимаем, что инвестору нужна целостная информация, которая позволит принять правильное решение.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Для этих целей разработан инвестиционный профиль - «Инвестиционный паспорт городского округа город Шарыпово».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Вашему вниманию представлена комплексная информация, демонстрирующая инвестиционный потенциал городского округа. Надеюсь, что представленный паспорт станет не только основным источником информации, но и путеводителем для деловых и предприимчивых людей, потенциальных инвесторов. Мы готовы к диалогу и рассмотрим все Ваши предложения по использованию свободных производственных площадей и земельных участков для организации новых производств, и объектов социально-культурной сферы.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Мы заинтересованы в привлечении инвестиций и готовы оказывать всяческое содействие повышению экономической активности в городском округе. Это важная и ответственная работа, от которой во многом зависит обеспечение социальной стабильности и экономическое развитие муниципального образования.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Создание благоприятного инвестиционного климата для потенциальных инвесторов было и остается одним из приоритетных направлений деятельности администрации города Шарыпово.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Мы заинтересованы в развитии наших партнерских отношений и приглашаем Вас к эффективному и взаимовыгодному сотрудничеству!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Глава города Шарыпово</w:t>
      </w:r>
    </w:p>
    <w:p>
      <w:pPr>
        <w:pStyle w:val="Normal"/>
        <w:spacing w:lineRule="auto" w:line="240" w:before="0"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В.Г. Хохлов</w:t>
      </w:r>
    </w:p>
    <w:p>
      <w:pPr>
        <w:sectPr>
          <w:type w:val="nextPage"/>
          <w:pgSz w:w="11906" w:h="16838"/>
          <w:pgMar w:left="1701" w:right="850" w:gutter="0" w:header="0" w:top="1134" w:footer="0" w:bottom="1134"/>
          <w:pgNumType w:fmt="decimal"/>
          <w:formProt w:val="false"/>
          <w:textDirection w:val="lrTb"/>
          <w:docGrid w:type="default" w:linePitch="360" w:charSpace="4096"/>
        </w:sectPr>
      </w:pP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12" wp14:anchorId="71A96038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3448050" cy="3219450"/>
                <wp:effectExtent l="0" t="0" r="0" b="0"/>
                <wp:wrapSquare wrapText="bothSides"/>
                <wp:docPr id="3" name="Slide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Slide" descr=""/>
                        <pic:cNvPicPr/>
                      </pic:nvPicPr>
                      <pic:blipFill>
                        <a:blip r:embed="rId4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5">
                                  <a14:imgEffect>
                                    <a14:sharpenSoften amount="25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rcRect l="40754" t="24474" r="28011" b="34297"/>
                        <a:stretch/>
                      </pic:blipFill>
                      <pic:spPr>
                        <a:xfrm>
                          <a:off x="0" y="0"/>
                          <a:ext cx="3448080" cy="3219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Slide" stroked="f" o:allowincell="f" style="position:absolute;margin-left:187.2pt;margin-top:0pt;width:271.45pt;height:253.45pt;mso-wrap-style:none;v-text-anchor:middle;mso-position-horizontal:right;mso-position-horizontal-relative:margin;mso-position-vertical:top;mso-position-vertical-relative:margin" wp14:anchorId="71A96038" type="_x0000_t75">
                <v:imagedata r:id="rId6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rPr>
          <w:rFonts w:cs="Times New Roman" w:ascii="Times New Roman" w:hAnsi="Times New Roman"/>
          <w:b/>
          <w:sz w:val="28"/>
          <w:szCs w:val="28"/>
        </w:rPr>
        <w:t>1. Общая информация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о городе Шарыпово</w: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pBdr/>
        <w:spacing w:lineRule="auto" w:line="240" w:before="0"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Городской округ город Шарыпово (далее – городской округ) расположен в юго-западной части Красноярского края, у восточных отрогов Кузнецкого Алатау, на границе степных областей Назаровской котловины и Кемеровской области. По территории городского округа протекают притоки первого и второго порядков реки Чулым (Кадат, Базыр, Береш, Урюп). </w:t>
      </w:r>
    </w:p>
    <w:p>
      <w:pPr>
        <w:pStyle w:val="Normal"/>
        <w:pBdr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Город Шарыпово – один из наиболее молодых городов Сибири, был образован на месте села Шарыповское 31 июля 1981 года Указом Президиума Верховного Совета Российской Федерации.</w:t>
      </w:r>
    </w:p>
    <w:p>
      <w:pPr>
        <w:pStyle w:val="Normal"/>
        <w:pBdr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Городской округ находится в зоне резко континентального климатического пояса. Средняя годовая температура воздуха в городе около 0,5 </w:t>
      </w:r>
      <w:r>
        <w:rPr>
          <w:rFonts w:cs="Times New Roman" w:ascii="Times New Roman" w:hAnsi="Times New Roman"/>
          <w:color w:val="000000"/>
          <w:sz w:val="28"/>
          <w:szCs w:val="28"/>
          <w:vertAlign w:val="superscript"/>
        </w:rPr>
        <w:t>°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С. Средняя температура в январе, самом холодном месяце года составляет -25 </w:t>
      </w:r>
      <w:r>
        <w:rPr>
          <w:rFonts w:cs="Times New Roman" w:ascii="Times New Roman" w:hAnsi="Times New Roman"/>
          <w:color w:val="000000"/>
          <w:sz w:val="28"/>
          <w:szCs w:val="28"/>
          <w:vertAlign w:val="superscript"/>
        </w:rPr>
        <w:t xml:space="preserve">° </w:t>
      </w:r>
      <w:r>
        <w:rPr>
          <w:rFonts w:cs="Times New Roman" w:ascii="Times New Roman" w:hAnsi="Times New Roman"/>
          <w:color w:val="000000"/>
          <w:sz w:val="28"/>
          <w:szCs w:val="28"/>
        </w:rPr>
        <w:t>С, в июле, самом теплом, – 28</w:t>
      </w:r>
      <w:r>
        <w:rPr>
          <w:rFonts w:cs="Times New Roman" w:ascii="Times New Roman" w:hAnsi="Times New Roman"/>
          <w:color w:val="000000"/>
          <w:sz w:val="28"/>
          <w:szCs w:val="28"/>
          <w:vertAlign w:val="superscript"/>
        </w:rPr>
        <w:t xml:space="preserve">° 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С. В переходные сезоны наблюдается резкое изменение средних месячных температур, что является характерной особенностью континентального климата. Количество осадков в год составляет в среднем 360 мм. </w:t>
      </w:r>
    </w:p>
    <w:p>
      <w:pPr>
        <w:pStyle w:val="Normal"/>
        <w:pBdr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В течение всего года в Шарыпово преобладает юго-западный ветер. Среднегодовая скорость ветра по многолетним данным составляет от 5 до 15 м/с, иногда усиливается до 20-25 м/с.</w:t>
      </w:r>
    </w:p>
    <w:p>
      <w:pPr>
        <w:pStyle w:val="Normal"/>
        <w:pBdr/>
        <w:spacing w:lineRule="auto" w:line="240" w:before="0"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Городской округ рассредоточен на три территории: г. Шарыпово, городской поселок Дубинино и городской поселок Горячегорск. </w:t>
      </w:r>
    </w:p>
    <w:p>
      <w:pPr>
        <w:pStyle w:val="Normal"/>
        <w:pBdr/>
        <w:spacing w:lineRule="auto" w:line="240" w:before="0"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Общая площадь территории городского округа составляет 3094,21 гектар. Земли населенных пунктов - 2850,47 гектар, земли промышленности, энергетики, транспорта и иного специального назначения - 102,56, земли лесного фонда - 141,18 гектар.</w:t>
      </w:r>
    </w:p>
    <w:p>
      <w:pPr>
        <w:pStyle w:val="Normal"/>
        <w:pBdr/>
        <w:spacing w:lineRule="auto" w:line="240" w:before="0"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Расстояние между г. Шарыпово и г.п. Дубинино – более 17 км, между г. Шарыпово и г.п. Горячегорском – 32,7 км. Административный центр – город Шарыпово.</w:t>
      </w:r>
    </w:p>
    <w:p>
      <w:pPr>
        <w:pStyle w:val="Normal"/>
        <w:pBdr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Город Шарыпово расположен в 320 км от краевого центра – города Красноярска. Он имеет выгодное географическое положение: близость транссибирской магистрали, удобные транспортные коммуникации (железнодорожные, автомобильные и воздушные), через город проходит автодорога Абакан-Кемерово, налажено автобусное сообщение с городами Красноярск, Абакан, Кемерово, Томск, Новосибирск, Мариинск. </w:t>
      </w:r>
    </w:p>
    <w:p>
      <w:pPr>
        <w:pStyle w:val="Normal"/>
        <w:pBdr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Город Шарыпово формировался как город энергетиков и угольщиков, его градообразующими предприятиями являлись Березовская ГРЭС и разрез Березовский. В начале 2000 года эти промышленные предприятия в соответствии с обновленным законодательством перерегистрировались по месту фактического нахождения и сейчас находятся в территориальном подчинении Шарыповского муниципального округа. В результате этого собственные доходы бюджета города формируются теперь только за счет субъектов малого бизнеса, расположенных на его собственной территории. </w: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1"/>
        <w:widowControl/>
        <w:ind w:hanging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2. Муниципальные финансы</w:t>
      </w:r>
    </w:p>
    <w:p>
      <w:pPr>
        <w:pStyle w:val="ConsPlusNormal1"/>
        <w:widowControl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ConsPlusNormal1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 2023 году, как и в предыдущие годы, в целях обеспечения экономической, социальной и финансовой стабильности в городском округе проводилась взвешенная бюджетная политика, направленная на реализацию мер по сохранению и увеличению налогового потенциала и повышению доступности и качества муниципальных услуг. </w:t>
      </w:r>
    </w:p>
    <w:p>
      <w:pPr>
        <w:pStyle w:val="ConsPlusNormal1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ходе исполнения бюджета города в отчетном году все принятые бюджетные обязательства Администрацией города исполнены в полном объеме, что подтверждает отсутствие кредиторской задолженности.</w:t>
      </w:r>
    </w:p>
    <w:p>
      <w:pPr>
        <w:pStyle w:val="ConsPlusNormal1"/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sz w:val="28"/>
          <w:szCs w:val="28"/>
        </w:rPr>
        <w:t>Бюджет городского округа был сформирован по методу программного планирования, в основе которого лежит распределение ресурсов между важнейшими направлениями деятельности и принятыми расходными обязательствами. В отчетном году было реализовано 12 муниципальных программ, фактическое исполнение по которым составило 98%.</w:t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/>
        <w:drawing>
          <wp:inline distT="0" distB="0" distL="0" distR="0">
            <wp:extent cx="5940425" cy="3341370"/>
            <wp:effectExtent l="0" t="0" r="0" b="0"/>
            <wp:docPr id="5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ConsPlusNormal1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Как и в предыдущие годы основная доля расходов в бюджете городского округа приходится на сферу образования это порядка 60 % от общей суммы расходов. В целом расходы на социальную сферу в отчетном году составили 72%. На втором месте находится национальная экономика – 18% и 10% в общей сумме расходов занимают общегосударственные расходы.</w:t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/>
        <w:drawing>
          <wp:inline distT="0" distB="0" distL="0" distR="0">
            <wp:extent cx="5940425" cy="3341370"/>
            <wp:effectExtent l="0" t="0" r="0" b="0"/>
            <wp:docPr id="6" name="Рисунок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3. Население, рынок труда, уровень жизни населения</w:t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и потребительский рынок</w:t>
      </w:r>
    </w:p>
    <w:p>
      <w:pPr>
        <w:pStyle w:val="Normal"/>
        <w:pBdr/>
        <w:spacing w:lineRule="auto" w:line="240" w:before="0"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Численность постоянно проживающего населения городского округа на 01.01.2024 года составила 40,739 тыс. человек</w:t>
      </w:r>
      <w:bookmarkStart w:id="0" w:name="_GoBack"/>
      <w:bookmarkEnd w:id="0"/>
      <w:r>
        <w:rPr>
          <w:rFonts w:cs="Times New Roman" w:ascii="Times New Roman" w:hAnsi="Times New Roman"/>
          <w:sz w:val="28"/>
          <w:szCs w:val="28"/>
        </w:rPr>
        <w:t xml:space="preserve"> или 99,3% к предыдущему году, аналогичный показатель за 2023г. составлял – 41,024 тыс. человек</w:t>
      </w:r>
      <w:r>
        <w:rPr>
          <w:rFonts w:cs="Times New Roman" w:ascii="Times New Roman" w:hAnsi="Times New Roman"/>
          <w:color w:val="000000"/>
          <w:sz w:val="28"/>
          <w:szCs w:val="28"/>
        </w:rPr>
        <w:t>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 2023 году родилось 370 малышей, умерло – 605 человек, естественная убыль составила 235 человек, коэффициент естественного прироста составил «– 5,8» (аналогичный период 2022 года «-7,5»).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Замедление роста числа родившихся связано с вступлением в детородный возраст малочисленного поколения рожденных в 90-е годы предыдущего столетия.</w:t>
      </w:r>
    </w:p>
    <w:p>
      <w:pPr>
        <w:pStyle w:val="ConsPlusNormal1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условиях складывающейся демографической ситуации снижение численности постоянного населения городского округа, соответствует краевой и общероссийской тенденции.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Миграция является важнейшим фактором изменения численности населения города, в течение 2023 года в городе наблюдалась миграционная убыль: на территорию городского округа прибыло 1746 человек, убыло – 1789 человек сальдо миграции составило -43 человека.</w:t>
      </w:r>
    </w:p>
    <w:p>
      <w:pPr>
        <w:pStyle w:val="Normal"/>
        <w:spacing w:lineRule="auto" w:line="240" w:before="0" w:after="0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drawing>
          <wp:anchor behindDoc="0" distT="0" distB="0" distL="0" distR="114300" simplePos="0" locked="0" layoutInCell="0" allowOverlap="1" relativeHeight="13">
            <wp:simplePos x="0" y="0"/>
            <wp:positionH relativeFrom="margin">
              <wp:align>left</wp:align>
            </wp:positionH>
            <wp:positionV relativeFrom="margin">
              <wp:posOffset>15875</wp:posOffset>
            </wp:positionV>
            <wp:extent cx="3448050" cy="2797175"/>
            <wp:effectExtent l="0" t="0" r="0" b="0"/>
            <wp:wrapSquare wrapText="bothSides"/>
            <wp:docPr id="7" name="Рисунок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0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0994" t="0" r="0" b="29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color w:val="000000"/>
          <w:sz w:val="28"/>
          <w:szCs w:val="28"/>
        </w:rPr>
        <w:t>Трудовой потенциал города полностью определяется характером демографической ситуации. В 2023 году численность трудовых ресурсов населения составила 22,62 тыс. человек. В экономике города занято 17,6 тысяч человек, что составляет 78% от трудоспособного населения.</w:t>
      </w:r>
    </w:p>
    <w:p>
      <w:pPr>
        <w:pStyle w:val="Normal"/>
        <w:widowControl w:val="false"/>
        <w:spacing w:lineRule="auto" w:line="240" w:before="0" w:after="0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Устойчивая работа предприятий и организаций города, а также реализуемые центром занятости меры проактивной политики занятости населения позволили снизить уровень безработицы в 2023 году до – 1 %.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5940425" cy="3341370"/>
            <wp:effectExtent l="0" t="0" r="0" b="0"/>
            <wp:docPr id="8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Уровень жизни населения является основным индикатором, характеризующим социально-экономическое развитие территории.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Структура денежных доходов на протяжении ряда лет существенно не меняется. Оплата труда сохраняется в качестве основного источника формирования денежных доходов населения – около 70 %. Социальные выплаты составляют более 20 % общего объема денежных доходов населения, основной составляющей частью которых являются пенсии.</w:t>
      </w:r>
    </w:p>
    <w:p>
      <w:pPr>
        <w:pStyle w:val="ConsPlusNormal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Динамика среднемесячной заработной платы города имеет тенденцию роста. За 2023 год среднемесячная номинальная заработная плата, начисленная работникам организаций, сложилась в размере 47 815,50 рублей, что на 14,3 % выше соответствующего периода прошлого года, реальный рост заработной платы составил 6,4 %.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Положительная динамика заработной платы будет определяться следующими факторами: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-увеличение минимального размера оплаты труда с 1 января 2024 года на 18,5 % до 19 242 (16 242) рублей в месяц;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- сохранение установленных Указами Президента РФ 2012 года целевых показателей повышения оплаты труда отдельных категорий работников;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 установление специальной краевой выплаты работникам бюджетной сферы с 1 января 2024 года в размере 3 000 рублей.</w:t>
      </w:r>
    </w:p>
    <w:p>
      <w:pPr>
        <w:pStyle w:val="ConsPlusNormal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По данным статистики задолженность по выплате заработной платы перед работниками организаций всех форм собственности отсутствует. 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Состояние торговли определяется платёжеспособным спросом, структурой потребительских предпочтений, ожиданиями населения, которые напрямую зависят от экономической ситуации в стране и в регионе. 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 итогам 2023 года оборот розничной торговли составил 4916,9 млн. рублей с увеличением в действующих ценах на 18,8%. Оборот розничной торговли сформирован предприятиями малого и среднего бизнеса, в том числе индивидуальными предпринимателями.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Оборот розничной торговли опережает своим ростом денежные доходы населения, это связано с участием в росте товарооборота приезжих с других регионов (Кемеровская область, Красноярский край и т.д.) отдыхающих в летний период, т.к. рядом с городом находятся места для отдыха (базы отдыха, пляжи и т.д.).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Вновь создаваемые предприятия и индивидуальные предприниматели в подавляющем большинстве ориентированы на торгово-коммерческую деятельность и сферу услуг. Вследствие чего, потребительский рынок в городе удовлетворяет потребностям жителей в товарах и услугах различной направленности.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 территории города Шарыпово сеть предприятий общественного питания насчитывало 34 объекта на 2051 посадочное место, с площадью обслуживания 4097,5 м2 в т.ч. 19 ресторанов, кафе, буфетов, баров на 675 посадочных мест, 10 столовых и закусочных на 1280 посадочных мест.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Общий оборот общественного питания в 2023 году составил 42,2 млн. рублей, наблюдается рост к уровню 2022 года в действующих ценах на 12,9%.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4. Социально-экономические характеристики города Шарыпово</w:t>
      </w:r>
    </w:p>
    <w:p>
      <w:pPr>
        <w:pStyle w:val="Normal"/>
        <w:widowControl w:val="false"/>
        <w:spacing w:lineRule="auto" w:line="240" w:before="0"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ConsPlusNormal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Администрацией города Шарыпово, её структурными подразделениями принимались все возможные меры по безусловному выполнению Указов Президента Российской Федерации, реализации национальных проектов и делегированных государственных полномочий по решению вопросов местного значения.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5940425" cy="3341370"/>
            <wp:effectExtent l="0" t="0" r="0" b="0"/>
            <wp:docPr id="9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000000"/>
          <w:sz w:val="28"/>
          <w:szCs w:val="28"/>
        </w:rPr>
        <w:t>4.1. Промышленность</w:t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Промышленность города  представлена предприятиями по производству  и распределению электроэнергии, газа и воды:  ООО «Система водоснабжения региона», ООО «ЦИТО», ООО «ЦРКУ» и офис обслуживания населения г. Шарыпово ПАО «Красноярскэнергосбыт»,  предприятиями обрабатывающей отрасли: ООО «Ком-Сервис» - производство хлебобулочных изделий, ООО «Идея плюс» - производство столярных и плотницких работ, монтаж металлоконструкций, производство изделий ПВХ, Краевое государственное автономное  учреждение «Редакция газеты «Огни Сибири», ООО «Инголь Аква».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5940425" cy="2943225"/>
            <wp:effectExtent l="0" t="0" r="0" b="0"/>
            <wp:docPr id="10" name="Рисунок 5" descr="C:\Users\rev\Downloads\2024-05-23_09-09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5" descr="C:\Users\rev\Downloads\2024-05-23_09-09-3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0" t="0" r="0" b="1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eastAsia="Calibri" w:cs="Times New Roman"/>
          <w:b/>
          <w:bCs/>
          <w:color w:val="000000"/>
          <w:sz w:val="28"/>
          <w:szCs w:val="28"/>
        </w:rPr>
      </w:pPr>
      <w:r>
        <w:rPr>
          <w:rFonts w:eastAsia="Calibri" w:cs="Times New Roman" w:ascii="Times New Roman" w:hAnsi="Times New Roman"/>
          <w:b/>
          <w:bCs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Calibri" w:cs="Times New Roman"/>
          <w:b/>
          <w:bCs/>
          <w:color w:val="000000"/>
          <w:sz w:val="28"/>
          <w:szCs w:val="28"/>
        </w:rPr>
      </w:pPr>
      <w:r>
        <w:rPr>
          <w:rFonts w:eastAsia="Calibri" w:cs="Times New Roman" w:ascii="Times New Roman" w:hAnsi="Times New Roman"/>
          <w:b/>
          <w:bCs/>
          <w:color w:val="000000"/>
          <w:sz w:val="28"/>
          <w:szCs w:val="28"/>
        </w:rPr>
        <w:t>4.2. Строительство</w:t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eastAsia="Calibri" w:cs="Times New Roman"/>
          <w:b/>
          <w:bCs/>
          <w:color w:val="000000"/>
          <w:sz w:val="28"/>
          <w:szCs w:val="28"/>
        </w:rPr>
      </w:pPr>
      <w:r>
        <w:rPr>
          <w:rFonts w:eastAsia="Calibri" w:cs="Times New Roman" w:ascii="Times New Roman" w:hAnsi="Times New Roman"/>
          <w:b/>
          <w:bCs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 xml:space="preserve">Объём работ, выполненных по договорам строительного подряда по данным Красноярскстата в 2023 году, составил 268,5 млн. рублей, рост к уровню 2022 года 100,3%.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 xml:space="preserve">В течении года в городе введено 3,8 тыс. кв.м. </w:t>
      </w:r>
      <w:r>
        <w:rPr>
          <w:rFonts w:eastAsia="Calibri" w:cs="Times New Roman" w:ascii="Times New Roman" w:hAnsi="Times New Roman"/>
          <w:color w:val="FF0000"/>
          <w:sz w:val="28"/>
          <w:szCs w:val="28"/>
        </w:rPr>
        <w:t xml:space="preserve"> </w:t>
      </w:r>
      <w:r>
        <w:rPr>
          <w:rFonts w:eastAsia="Calibri" w:cs="Times New Roman" w:ascii="Times New Roman" w:hAnsi="Times New Roman"/>
          <w:sz w:val="28"/>
          <w:szCs w:val="28"/>
        </w:rPr>
        <w:t xml:space="preserve">площади индивидуальных жилых домов, снижение 38,9% к уровню 2022г. Ввод многоэтажного жилищного строительства не проводился.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Cambria" w:cs="Times New Roman" w:ascii="Times New Roman" w:hAnsi="Times New Roman"/>
          <w:sz w:val="28"/>
          <w:szCs w:val="28"/>
          <w:lang w:eastAsia="ru-RU"/>
        </w:rPr>
        <w:t xml:space="preserve">На территории городского округа выполнены работы по капитальному ремонту общего имущества в 7 многоквартирных домах, из них в 5 домах выполнены работы по ремонту инженерной системы, в 2 домах заменено лифтовое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оборудование и в 1 доме утепление и ремонт фасада. </w: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  <w:bookmarkStart w:id="1" w:name="_Hlk85529746"/>
      <w:bookmarkStart w:id="2" w:name="_Hlk85529746"/>
      <w:bookmarkEnd w:id="2"/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Calibri" w:cs="Times New Roman"/>
          <w:b/>
          <w:bCs/>
          <w:color w:val="000000"/>
          <w:sz w:val="28"/>
          <w:szCs w:val="28"/>
        </w:rPr>
      </w:pPr>
      <w:r>
        <w:rPr>
          <w:rFonts w:eastAsia="Calibri" w:cs="Times New Roman" w:ascii="Times New Roman" w:hAnsi="Times New Roman"/>
          <w:b/>
          <w:bCs/>
          <w:color w:val="000000"/>
          <w:sz w:val="28"/>
          <w:szCs w:val="28"/>
        </w:rPr>
        <w:t>4.3. Транспорт</w:t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Протяженность автомобильных дорог общего пользования местного значения составляет 208,1 км, в т. ч. с твердым покрытием – 196 км., из них с усовершенствованным типом покрытия – 140,5 км. Протяженность грунтовых автомобильных дорог- 12,1 км. Доля протяженности автомобильных дорог общего пользования местного значения с твердым покрытием в общей протяженности автомобильных дорог общего пользования местного значения составляет 94,2 %.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На территории городского округа осуществляют перевозку пассажиров по городским и пригородным маршрутам одно предприятие и три индивидуальных предпринимателя: Шарыповский филиал АО «Краевое АТП», ИП Иноземцев М.М., ИП Жилейкин А.С., ИП Керимов З.Н.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Количество автобусных маршрутов - десять. Протяженность маршрутов составляет 191,5 км. Все жители города Шарыпово, в том числе входящих в состав округа, населенных пунктов поселка Горячегорск и поселка Дубинино пользуются услугами регулярного автобусного сообщения с административным центром муниципального образования.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Средняя численность пассажиров, перевезенных всеми видами транспорта, 975,66 тыс. человек. 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firstLine="709"/>
        <w:contextualSpacing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 целях повышения уровня обустройства улично-дорожной сети города и повышения транспортно-эксплуатационного состояния ремонтируемых автомобильных дорог местного значения выполнены мероприятия по ремонту участков автомобильных дорог на общую сумму 68,55 млн. рублей.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  <w:bookmarkStart w:id="3" w:name="_Hlk85529746"/>
      <w:bookmarkStart w:id="4" w:name="_Hlk85529746"/>
      <w:bookmarkEnd w:id="4"/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Calibri" w:cs="Times New Roman"/>
          <w:b/>
          <w:bCs/>
          <w:iCs/>
          <w:sz w:val="28"/>
          <w:szCs w:val="28"/>
        </w:rPr>
      </w:pPr>
      <w:r>
        <w:rPr>
          <w:rFonts w:eastAsia="Calibri" w:cs="Times New Roman" w:ascii="Times New Roman" w:hAnsi="Times New Roman"/>
          <w:b/>
          <w:bCs/>
          <w:iCs/>
          <w:sz w:val="28"/>
          <w:szCs w:val="28"/>
        </w:rPr>
        <w:t>4.4. Связь</w: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Calibri" w:cs="Times New Roman"/>
          <w:bCs/>
          <w:iCs/>
          <w:sz w:val="28"/>
          <w:szCs w:val="28"/>
        </w:rPr>
      </w:pPr>
      <w:r>
        <w:rPr>
          <w:rFonts w:eastAsia="Calibri" w:cs="Times New Roman" w:ascii="Times New Roman" w:hAnsi="Times New Roman"/>
          <w:bCs/>
          <w:iCs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 xml:space="preserve">Услуги связи на территории города оказывают ОАО «Ростелеком», Шарыповский филиал ФГУП «Почта России». В городском округе города Шарыпово 8 стационарных отделений почтовой связи. Действует местное телевидение и радио, три редакции местных газет. Охват населения двумя и более программами телевидения 100%.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Сотовая связь представлена операторами «Билайн», «МТС», «Ростелеком», «Мегафон», «Теле2», «Тинькофф».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000000"/>
          <w:sz w:val="28"/>
          <w:szCs w:val="28"/>
        </w:rPr>
        <w:t>4.5. Сельское хозяйство</w:t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Cs/>
          <w:i/>
          <w:i/>
          <w:iCs/>
          <w:color w:val="000000"/>
          <w:sz w:val="28"/>
          <w:szCs w:val="28"/>
        </w:rPr>
      </w:pPr>
      <w:r>
        <w:rPr>
          <w:rFonts w:cs="Times New Roman" w:ascii="Times New Roman" w:hAnsi="Times New Roman"/>
          <w:b/>
          <w:bCs/>
          <w:i/>
          <w:iCs/>
          <w:color w:val="000000"/>
          <w:sz w:val="28"/>
          <w:szCs w:val="28"/>
        </w:rPr>
        <w:t>- Растениеводство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 территории города сельскохозяйственная продукция производится в хозяйствах населения.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Растениеводством в городском округе занимаются личные подсобные хозяйства, в которых выращиваются основные виды овощных культур: картофель, морковь, огурцы, помидоры, редис и прочие. Общая посевная площадь сельскохозяйственных культур составила 165,8 гектаров.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i/>
          <w:i/>
          <w:iCs/>
          <w:color w:val="000000"/>
          <w:sz w:val="28"/>
          <w:szCs w:val="28"/>
        </w:rPr>
      </w:pPr>
      <w:r>
        <w:rPr>
          <w:rFonts w:cs="Times New Roman" w:ascii="Times New Roman" w:hAnsi="Times New Roman"/>
          <w:b/>
          <w:bCs/>
          <w:i/>
          <w:iCs/>
          <w:color w:val="000000"/>
          <w:sz w:val="28"/>
          <w:szCs w:val="28"/>
        </w:rPr>
        <w:t>- Животноводство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 данным Красноярскстата поголовье основных видов скота в домашних хозяйствах составляло – 693 голов (84,8% к уровню прошлого года), в т.ч. поголовье крупного рогатого скота –123 головы, овец и коз – 234 головы, свиней – 319 голов, лошадей –17 голов.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 личные подсобные хозяйства населения города приходится 100% всего поголовья крупнорогатого скота, овец, птицы.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000000"/>
          <w:sz w:val="28"/>
          <w:szCs w:val="28"/>
        </w:rPr>
        <w:t>4.6. Малое предпринимательство</w:t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000000"/>
          <w:sz w:val="28"/>
          <w:szCs w:val="28"/>
        </w:rPr>
      </w:r>
    </w:p>
    <w:p>
      <w:pPr>
        <w:pStyle w:val="ConsPlusNormal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По данным Единого государственного реестра субъектов малого и среднего предпринимательства по состоянию на 01.01.2024 г. на территории городского округа осуществляли деятельность 1237 субъектов малого предпринимательства (темп роста к 2022 году – 100,08 %), в том числе 975 индивидуальных предпринимателей, 260 малых и микропредприятий, и 2 средних предприятия. </w:t>
      </w:r>
    </w:p>
    <w:p>
      <w:pPr>
        <w:pStyle w:val="ConsPlusNormal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целях обеспечения условий роста субъектов малого и среднего предпринимательства на территории города разработана и утверждена муниципальная программа «Развитие инвестиционной деятельности малого и среднего предпринимательства на территории городского округа города Шарыпово». В результате реализации мероприятий программы предоставлена финансовая поддержка 9 хозяйствующим субъектам: сохранено 35 рабочих мест, сумма финансирования программных мероприятий составила 2,35 млн. рублей, всего привлечено инвестиций в экономику – 6,2 млн. рублей.</w:t>
      </w:r>
    </w:p>
    <w:p>
      <w:pPr>
        <w:pStyle w:val="ConsPlusNormal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Особое значение Администрация города Шарыпово уделяет вопросам консультационной поддержки малого и среднего предпринимательства. На официальном сайте Администрации города в разделе «Меры поддержки» создан подраздел «Поддержка МСП и физлиц, применяющих налог на профессиональный доход», в котором размещена и регулярно обновляется информация о различных видах и способах финансовой поддержки субъектов малого и среднего предпринимательства и т.д.</w:t>
      </w:r>
    </w:p>
    <w:p>
      <w:pPr>
        <w:pStyle w:val="ConsPlusNormal1"/>
        <w:ind w:hanging="0"/>
        <w:jc w:val="both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5940425" cy="2962275"/>
            <wp:effectExtent l="0" t="0" r="0" b="0"/>
            <wp:docPr id="11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0" t="4845" r="0" b="6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4.7. Инвестиции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Инвестиции в основной капитал организациями городского округа (не относящимися к субъектам малого предпринимательства, включая организации, средняя численность работников которых не превышает 15 человек) за 2023 год составили 2 703 010,0 тыс. рублей. Рост инвестиций в основной капитал по </w:t>
      </w:r>
      <w:r>
        <w:rPr>
          <w:rFonts w:cs="Times New Roman" w:ascii="Times New Roman" w:hAnsi="Times New Roman"/>
          <w:color w:val="000000"/>
          <w:sz w:val="28"/>
          <w:szCs w:val="28"/>
        </w:rPr>
        <w:t>отношению к соответствующему периоду предыдущего года в сопоставимых ценах в 1,9 раза. В разрезе инвестиций в основной капитал за счет всех источников финансирования (без субъектов малого предпринимательства и параметров неформальной</w:t>
      </w:r>
      <w:r>
        <w:rPr>
          <w:rFonts w:cs="Times New Roman" w:ascii="Times New Roman" w:hAnsi="Times New Roman"/>
          <w:sz w:val="28"/>
          <w:szCs w:val="28"/>
        </w:rPr>
        <w:t xml:space="preserve"> деятельности) основными источниками финансирования капитальных вложений в отчетном году являлись собственные средства – 1 310 010 тыс. рублей, привлеченные средства – 1 392 228 тыс. рублей (в т.ч. за счет бюджетных средств – 550 070 тыс. рублей). 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Рост объемов инвестиций в основной капитал по кругу организаций, не относящихся к субъектам малого предпринимательства, включая организации, средняя численность работников которых не превышает 15 человек, отмечен в следующих видах экономической деятельности: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- «Платные услуги населению» с 1 160 633 тыс. рублей до 2 569 551 тыс. рублей (189,48% в сопоставимых ценах к 2022 году). 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Транспортной компанией приобретен подвижной состав для перевозок грузов.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«Образование» с 30 057,0 тыс. рублей до 211 511,0 тыс. рублей (602,28% в сопоставимых ценах к 2022 году). Выполнен капитальный ремонт оконных и дверных блоков в трех дошкольных учреждениях, капитальный ремонт эвакуационных выходов в учреждении дополнительного образования, приобретено оборудование, мебель.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«Деятельность в области культуры, спорта, организации досуга и развлечений» с 20 090,0 тыс. рублей до 89 064,0 тыс. рублей (379,43% в сопоставимых ценах к 2022 году).  Из краевого бюджета по государственной программе Красноярского края «Развитие физической культуры и спорта» на конкурсной основе выделены субсидии в сумме – 16 259,8 тыс. рублей:</w:t>
      </w:r>
    </w:p>
    <w:p>
      <w:pPr>
        <w:pStyle w:val="Normal"/>
        <w:widowControl w:val="false"/>
        <w:tabs>
          <w:tab w:val="clear" w:pos="708"/>
          <w:tab w:val="left" w:pos="993" w:leader="none"/>
        </w:tabs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установлена комплексная площадка для подвижных игр в мкр.7;</w:t>
      </w:r>
    </w:p>
    <w:p>
      <w:pPr>
        <w:pStyle w:val="Normal"/>
        <w:widowControl w:val="false"/>
        <w:tabs>
          <w:tab w:val="clear" w:pos="708"/>
          <w:tab w:val="left" w:pos="993" w:leader="none"/>
        </w:tabs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обустроена площадка для игры в баскетбол на стадионе «Энергия»;</w:t>
      </w:r>
    </w:p>
    <w:p>
      <w:pPr>
        <w:pStyle w:val="Normal"/>
        <w:widowControl w:val="false"/>
        <w:tabs>
          <w:tab w:val="clear" w:pos="708"/>
          <w:tab w:val="left" w:pos="993" w:leader="none"/>
        </w:tabs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приобретен спортивный инвентарь и оборудование для спортивных клубов по месту жительства «Темп» и «Энергия»;</w:t>
      </w:r>
    </w:p>
    <w:p>
      <w:pPr>
        <w:pStyle w:val="Normal"/>
        <w:widowControl w:val="false"/>
        <w:tabs>
          <w:tab w:val="clear" w:pos="708"/>
          <w:tab w:val="left" w:pos="993" w:leader="none"/>
        </w:tabs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обустроена площадка для проведения тестирования населения ВФСК ГТО на стадионе «Энергия»;</w:t>
      </w:r>
    </w:p>
    <w:p>
      <w:pPr>
        <w:pStyle w:val="Normal"/>
        <w:widowControl w:val="false"/>
        <w:tabs>
          <w:tab w:val="clear" w:pos="708"/>
          <w:tab w:val="left" w:pos="993" w:leader="none"/>
        </w:tabs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приобретена экипировка и инвентарь индивидуального пользования для отделений спортивных школ, осуществляющих спортивную подготовку в соответствии с требованиями федеральных стандартов спортивной подготовки (ФССП).</w:t>
      </w:r>
    </w:p>
    <w:p>
      <w:pPr>
        <w:pStyle w:val="Normal"/>
        <w:widowControl w:val="false"/>
        <w:tabs>
          <w:tab w:val="clear" w:pos="708"/>
          <w:tab w:val="left" w:pos="993" w:leader="none"/>
        </w:tabs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«Деятельность в области здравоохранения» с 191 369 тыс. рублей до 237 598 тыс. рублей (106,26% в сопоставимых ценах к 2022году.). В целях обеспечения доступной качественной медицинской помощи продолжилось развитие материально-технической базы КГБУЗ "Шарыповская ЦРБ": получены автомобили скорой медицинской помощи, приобретено медицинское оборудование: аппарат рентгеновский, маммограф, так же были выделены бюджетные ассигнования на оснащение родильного дома медицинской аппаратурой.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Сокращение инвестиций в 2023 году по отношению к соответствующему периоду 2022 года произошло по видам экономической деятельности: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- «Жилищно-коммунальное хозяйство» снижение с 56 026,0 тыс. рублей до 55 819,0 тыс. рублей (85,27% в сопоставимых ценах к 2022 году);  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«Деятельность профессиональная, научная и техническая» снижение с 3 809,0 тыс. рублей до 3 072,0 тыс. рублей (69,02% в сопоставимых ценах к 2022 году).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2023 году объем инвестиций в основной капитал (за исключением бюджетных средств) в расчете на 1 человека увеличился к уровню 2022 года в 2,1 раза в действующих ценах и составил 52 663,60 рублей.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 2023 году были разработаны и запущены взаимосвязанные проекты, направленные на формирование уникального образа города Шарыпово, культурного бренда территории, связанного с палеонтологической тематикой. 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 рамках проекта «Шарыпово юрского периода» создается целая система объектов, посвященная палеонтологической тематике, а также уникальный Динопарк, аналогов которому в Красноярском крае еще не было. Основной локацией Динопарка планируется аллея со скульптурами динозавров, выполненных в натуральную величину. В 2024 - 2025 годах планируется продолжить создание Динопарка с обустройством аллей, натуральных и тактильных динозавров, тематических детских игровых зон и зон отдыха. 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сентябре 2023 года принято решение, и выделено финансирование на строительство быстровозводимого модульного молодежного центра в городе Шарыпово на сумму 100 000,0 тыс. рублей (Закон Красноярского края от 07.12.2023 №6-2296 «О краевом бюджете на 2024 год и плановый период 2025 - 2026 годов»). Ввод в эксплуатацию центра планируется в 2025 году.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 текущем году в городе Шарыпово продолжается строительство плавательного бассейна. </w:t>
      </w:r>
      <w:r>
        <w:rPr>
          <w:rFonts w:cs="Times New Roman" w:ascii="Times New Roman" w:hAnsi="Times New Roman"/>
          <w:color w:val="000000"/>
          <w:spacing w:val="-3"/>
          <w:sz w:val="28"/>
          <w:szCs w:val="28"/>
        </w:rPr>
        <w:t xml:space="preserve">В 2024 году ожидается снижение совокупного объема инвестиций, что приведет к снижению объема инвестиций в основной капитал (за исключением бюджетных средств) в расчете на 1 человека населения </w:t>
      </w:r>
      <w:r>
        <w:rPr>
          <w:rFonts w:cs="Times New Roman" w:ascii="Times New Roman" w:hAnsi="Times New Roman"/>
          <w:spacing w:val="-3"/>
          <w:sz w:val="28"/>
          <w:szCs w:val="28"/>
        </w:rPr>
        <w:t xml:space="preserve">до 5 807,58 рублей. 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 территории городского округа города Шарыпово инвестиционные проекты не реализуются.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6000115" cy="2847975"/>
            <wp:effectExtent l="0" t="0" r="0" b="0"/>
            <wp:docPr id="12" name="Рисунок 12" descr="C:\Users\rev\Downloads\2024-05-23_11-05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C:\Users\rev\Downloads\2024-05-23_11-05-55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320" t="-12" r="320" b="5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11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spacing w:lineRule="auto" w:line="240" w:before="0"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5. Социальная инфраструктура</w:t>
      </w:r>
    </w:p>
    <w:p>
      <w:pPr>
        <w:pStyle w:val="Normal"/>
        <w:widowControl w:val="false"/>
        <w:spacing w:lineRule="auto" w:line="240" w:before="0"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 городе Шарыпово образовательные услуги оказывают 18 образовательных учреждений муниципальной системы образования, также функционируют два загородных лагеря. В сфере образования ведётся системная работа по созданию современных условий для доступного, качественного обучения, воспитания и развития детей на всех уровнях образования.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Одним их приоритетных направлений деятельности Администрации города является обеспечение доступности дошкольного образования.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Программы дошкольного образования реализовывались на базе 10 муниципальных учреждений города, в которых воспитывались и получали разностороннее развитие 2369 детей. В целом охват дошкольным образованием составляет 84,2% от общего количества детей в возрасте от 1 до 6 лет. Возможность посещать детские сады обеспечена для всех детей в возрасте от 1 года до семи лет. Таким образом, Указ Президента Российской Федерации по обеспечению местами в дошкольных образовательных учреждениях детей исполнен на 100%. Очередность в дошкольные образовательные учреждения составляет 297 детей в возрасте от 0 до 3 лет, из них: от 0 до 1 года – 286 детей, от 1 до 1,5 лет – 8 детей, от 1,5 до 3 лет – 3 ребенка. Актуальной очереди (актуальная очередь – это численность детей, желающих посещать детский сад в настоящее время, но не обеспеченных местом) в городе Шарыпово нет. Все дети, посещающие дошкольные учреждения, обеспечены питанием.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Общее образование в городе обеспечивают 7 муниципальных общеобразовательных организаций, в которых обучаются 5577, что на 2 человека меньше, чем в 2022 году.  Для школьников организован учебно-воспитательный процесс в первую смену.</w:t>
      </w:r>
    </w:p>
    <w:p>
      <w:pPr>
        <w:pStyle w:val="Normal"/>
        <w:spacing w:lineRule="auto" w:line="240" w:before="0"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систему учреждений культуры и искусства входит 6 учреждений культуры, в том числе: 1 учреждение клубного типа (с филиалами в пос. Горячегорск и пос. Дубинино), 2 детские школы искусств, 1 музей, 1 театр, 1 централизованная библиотечная система (включает 8 филиалов).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 отчетном году учреждениями культуры проведено более 1000 мероприятий для жителей города, более 100 из них прошли в рамках Года педагога и наставника.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Детских школах искусств г. Шарыпово и п. Дубинино обучается 852 человека. В течение года более 400 учащихся приняли участие конкурсах международного, всероссийского и регионального уровней. Из них 110 человек стали лауреатами и дипломантами.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 городе осуществляют деятельность в области физической культуры и спорта три муниципальных учреждения: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- В МБУ ДО «Спортивная школа олимпийского резерва по единоборствам» и МБУ ДО «Спортивная школа города Шарыпово» успешно развиваются 13 видов спорта. Численность занимающихся в спортивных школах в 2023 году составила 1171 человек.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- МАУ «ЦФСП», на базе которого функционируют 8 спортивных клубов по месту жительства в которых занимается 1201 человек, что на 38 человек больше, чем в 2022 году и центр тестирования по выполнению видов испытаний (тестов), нормативов Всероссийского физкультурно-спортивного комплекса «Готов к труду и обороне» (ГТО) города Шарыпово.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Численность населения, систематически занимающегося физкультурой и спортом, составила 21,3 тыс. человек, что составляет – 55,89% от числа жителей города в возрасте от 3 до 79 лет (2022 год – 51,68%), что на 492 человека меньше, чем за аналогичный период прошлого года (уменьшение числа занимающихся физической культурой и спортом связано с уменьшением количества жителей города Шарыпово).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Ежегодно в городе проводится более 200 различных физкультурно-спортивных мероприятий и соревнований, в которых принимают участие порядка 16 тысяч человек.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6. Жилищно-коммунальное хозяйство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Жилищно-коммунальное хозяйство – это многоотраслевой комплекс, обеспечивающий функционирование инженерной инфраструктуры зданий различного назначения и создающий удобства и комфортность проживания или нахождения в них граждан путем предоставления им широкого спектра жилищно-коммунальных услуг. 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Общая площадь жилищного фонда на конец года составила 1232,99 тыс.м2 (2022г. – 1229,17 тыс.м2), в том числе общая площадь многоквартирных домов составила 983,91 м2 (80 % от общей площади жилфонда), общая площадь объектов индивидуального жилищного строительства – 249,08 тыс.м2 (20 %), Общая площадь жилищного фонда города по отношению к уровню предыдущего года увеличилась на 3,82 тыс.м2.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 01.01.2024 в городе осуществили деятельность 10 управляющих организаций, в управлении которых находится 201 многоквартирных домов. Собственники 48 многоквартирных домов выбрали непосредственный способ управления домом.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Организации коммунального комплекса представлены: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ПАО «Юинпро» Филиал «Березовской ГРЭС» - теплоснабжение, горячее водоснабжение, водоотведение);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ООО «ЦРКУ» - водоснабжение города Шарыпово, ООО «АкваРесурс» - водоснабжение и водоотведение городского поселка Дубинино;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ПАО «Красноярскэнергосбыт» - электроснабжение;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ООО «Эко-Транспорт» - обращение с ТКО.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5940425" cy="3067050"/>
            <wp:effectExtent l="0" t="0" r="0" b="0"/>
            <wp:docPr id="13" name="Рисунок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0" t="5129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7. Стратегия социально-экономического развития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города Шарыпово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Сдерживающим фактором в развитии городского округа является </w:t>
      </w:r>
      <w:r>
        <w:rPr>
          <w:rFonts w:cs="Times New Roman" w:ascii="Times New Roman" w:hAnsi="Times New Roman"/>
          <w:b/>
          <w:sz w:val="28"/>
          <w:szCs w:val="28"/>
        </w:rPr>
        <w:t>отсутствие стратегии социально-экономического развития</w:t>
      </w:r>
      <w:r>
        <w:rPr>
          <w:rFonts w:cs="Times New Roman" w:ascii="Times New Roman" w:hAnsi="Times New Roman"/>
          <w:sz w:val="28"/>
          <w:szCs w:val="28"/>
        </w:rPr>
        <w:t xml:space="preserve"> как основополагающего документа.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 настоящее время нами подготовлен проект Стратегии социально-экономического развития и план мероприятий по её реализации, который в ноябре 2023 года направлен в министерство экономики и регионального развития Красноярского края для рассмотрения и </w:t>
      </w:r>
      <w:r>
        <w:rPr>
          <w:rFonts w:eastAsia="SimSun" w:cs="Times New Roman" w:ascii="Times New Roman" w:hAnsi="Times New Roman"/>
          <w:sz w:val="28"/>
          <w:szCs w:val="28"/>
        </w:rPr>
        <w:t>согласования.</w:t>
      </w:r>
    </w:p>
    <w:p>
      <w:pPr>
        <w:pStyle w:val="Normal"/>
        <w:suppressAutoHyphens w:val="true"/>
        <w:spacing w:lineRule="auto" w:line="240" w:before="0" w:after="0"/>
        <w:ind w:firstLine="709"/>
        <w:jc w:val="both"/>
        <w:rPr>
          <w:rFonts w:ascii="Times New Roman" w:hAnsi="Times New Roman" w:eastAsia="SimSun" w:cs="Times New Roman"/>
          <w:sz w:val="28"/>
          <w:szCs w:val="28"/>
        </w:rPr>
      </w:pPr>
      <w:r>
        <w:rPr>
          <w:rFonts w:eastAsia="SimSun" w:cs="Times New Roman" w:ascii="Times New Roman" w:hAnsi="Times New Roman"/>
          <w:sz w:val="28"/>
          <w:szCs w:val="28"/>
        </w:rPr>
        <w:t>Но уже сегодня считаю необходимым обозначить приоритетные направления, на которые акцентировано особое внимание в разработанном проекте это:</w:t>
      </w:r>
    </w:p>
    <w:p>
      <w:pPr>
        <w:pStyle w:val="Normal"/>
        <w:suppressAutoHyphens w:val="true"/>
        <w:spacing w:lineRule="auto" w:line="240" w:before="0" w:after="0"/>
        <w:ind w:firstLine="709"/>
        <w:jc w:val="both"/>
        <w:rPr>
          <w:rFonts w:ascii="Times New Roman" w:hAnsi="Times New Roman" w:eastAsia="SimSun" w:cs="Times New Roman"/>
          <w:sz w:val="28"/>
          <w:szCs w:val="28"/>
        </w:rPr>
      </w:pPr>
      <w:r>
        <w:rPr>
          <w:rFonts w:eastAsia="SimSun" w:cs="Times New Roman" w:ascii="Times New Roman" w:hAnsi="Times New Roman"/>
          <w:sz w:val="28"/>
          <w:szCs w:val="28"/>
        </w:rPr>
        <w:t>1)</w:t>
        <w:tab/>
      </w:r>
      <w:r>
        <w:rPr>
          <w:rFonts w:cs="Times New Roman" w:ascii="Times New Roman" w:hAnsi="Times New Roman"/>
          <w:sz w:val="28"/>
          <w:szCs w:val="28"/>
        </w:rPr>
        <w:t>Развитие человеческого капитала и улучшение качества городской среды</w:t>
      </w:r>
      <w:r>
        <w:rPr>
          <w:rFonts w:eastAsia="SimSun" w:cs="Times New Roman" w:ascii="Times New Roman" w:hAnsi="Times New Roman"/>
          <w:sz w:val="28"/>
          <w:szCs w:val="28"/>
        </w:rPr>
        <w:t xml:space="preserve">. </w:t>
      </w:r>
    </w:p>
    <w:p>
      <w:pPr>
        <w:pStyle w:val="Normal"/>
        <w:suppressAutoHyphens w:val="true"/>
        <w:spacing w:lineRule="auto" w:line="240" w:before="0" w:after="0"/>
        <w:ind w:firstLine="709"/>
        <w:jc w:val="both"/>
        <w:rPr>
          <w:rFonts w:ascii="Times New Roman" w:hAnsi="Times New Roman" w:eastAsia="SimSun" w:cs="Times New Roman"/>
          <w:sz w:val="28"/>
          <w:szCs w:val="28"/>
        </w:rPr>
      </w:pPr>
      <w:r>
        <w:rPr>
          <w:rFonts w:eastAsia="SimSun" w:cs="Times New Roman" w:ascii="Times New Roman" w:hAnsi="Times New Roman"/>
          <w:sz w:val="28"/>
          <w:szCs w:val="28"/>
        </w:rPr>
        <w:t>2)</w:t>
        <w:tab/>
        <w:t>Обеспечение устойчивого экономического роста, развитие бизнеса.</w:t>
      </w:r>
    </w:p>
    <w:p>
      <w:pPr>
        <w:pStyle w:val="Normal"/>
        <w:suppressAutoHyphens w:val="true"/>
        <w:spacing w:lineRule="auto" w:line="240" w:before="0" w:after="0"/>
        <w:ind w:firstLine="709"/>
        <w:jc w:val="both"/>
        <w:rPr>
          <w:rFonts w:ascii="Times New Roman" w:hAnsi="Times New Roman" w:eastAsia="SimSun" w:cs="Times New Roman"/>
          <w:sz w:val="28"/>
          <w:szCs w:val="28"/>
        </w:rPr>
      </w:pPr>
      <w:r>
        <w:rPr>
          <w:rFonts w:eastAsia="SimSun" w:cs="Times New Roman" w:ascii="Times New Roman" w:hAnsi="Times New Roman"/>
          <w:sz w:val="28"/>
          <w:szCs w:val="28"/>
        </w:rPr>
        <w:t>3)</w:t>
        <w:tab/>
        <w:t>Тесная межмуниципальная кооперация с Шарыповским муниципальным округом.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Обеспечение планомерного роста качества жизни населения</w:t>
      </w:r>
      <w:r>
        <w:rPr>
          <w:rFonts w:cs="Times New Roman" w:ascii="Times New Roman" w:hAnsi="Times New Roman"/>
          <w:sz w:val="28"/>
          <w:szCs w:val="28"/>
        </w:rPr>
        <w:t>, в соответствии с национальными приоритетами будет достигаться за счет участия городского округа в реализации национальных проектов.</w:t>
      </w:r>
    </w:p>
    <w:p>
      <w:pPr>
        <w:pStyle w:val="Normal"/>
        <w:tabs>
          <w:tab w:val="clear" w:pos="708"/>
          <w:tab w:val="left" w:pos="1080" w:leader="none"/>
        </w:tabs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u w:val="single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Ежегодно на территории города реализуются национальные проекты в области образования, культуры, городской среды и безопасных качественных автомобильных дорог.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Всего в рамках реализации национальных проектов выполнено мероприятий на общую сумму порядка 124 миллионов рублей, с учетом внебюджетных средств. Целевые показатели национальных проектов выполнены на 100%.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Город Шарыпово никогда не рассматривался зоной для развития туризма, тем не менее, нам удалось изменить ситуацию, заручится поддержкой Агентства по туризму края и компании СУЭК по созданию в городе туристско-</w:t>
      </w:r>
      <w:r>
        <w:rPr>
          <w:rFonts w:cs="Times New Roman" w:ascii="Times New Roman" w:hAnsi="Times New Roman"/>
          <w:sz w:val="28"/>
          <w:szCs w:val="28"/>
        </w:rPr>
        <w:t xml:space="preserve">рекреационной зоны «Шарыпово юрского периода». В 2023 реализован 1 этап проекта на общую сумму 17,7 миллионов рублей. В 2024 году данная работа продолжена. Считаю, что реализуемый проект станет интересной точкой на карте города с большим туристическим потенциалом. 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Самым ярким и брендовым мероприятием стало проведение на территории города динофестиваля «Шарыпово юрского периода». Тема динозавров понравилась жителям, они приняли активное участие в создании арт-объектов фестиваля, в творческих конкурсах костюмов и сувениров в тематике динозавров.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2024 году состоится первый научно-познавательный Динофестиваль «Шарыпово юрского периода» с участием приглашённых спикеров из Москвы и Санкт-Петербурга.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результате реализации этих взаимосвязанных проектов начинает формироваться собственный уникальный бренд города Шарыпово.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социальной сфере главной своей задачей вижу обеспечение реализации программы капитального ремонта школ и детских садов города. Сложная, тяжелая задача, но жизненно необходимая.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Наращивание экономического потенциала и</w:t>
      </w:r>
      <w:r>
        <w:rPr>
          <w:rFonts w:eastAsia="SimSun" w:cs="Times New Roman" w:ascii="Times New Roman" w:hAnsi="Times New Roman"/>
          <w:b/>
          <w:sz w:val="28"/>
          <w:szCs w:val="28"/>
        </w:rPr>
        <w:t xml:space="preserve"> инвестиционной привлекательности территории</w:t>
      </w:r>
      <w:r>
        <w:rPr>
          <w:rFonts w:cs="Times New Roman" w:ascii="Times New Roman" w:hAnsi="Times New Roman"/>
          <w:sz w:val="28"/>
          <w:szCs w:val="28"/>
        </w:rPr>
        <w:t xml:space="preserve"> видим в развитии малого и среднего бизнеса. </w:t>
      </w:r>
    </w:p>
    <w:p>
      <w:pPr>
        <w:pStyle w:val="ConsPlusNormal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 структуре хозяйствующих субъектов малого бизнеса, предприятия оптовой и розничной торговли составляют 39,5 %, а обрабатывающие производства занимают лишь 5,8%. </w:t>
      </w:r>
    </w:p>
    <w:p>
      <w:pPr>
        <w:pStyle w:val="ConsPlusNormal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Для того чтобы изменить ситуацию, в целях привлечения инвесторов, нами на территории производственной зоны «Ашпыл» сформировано 11 земельных участков. В целом потенциал промышленной зоны составляет около 100 га.</w:t>
      </w:r>
    </w:p>
    <w:p>
      <w:pPr>
        <w:pStyle w:val="ConsPlusNormal1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eastAsia="" w:cs="Times New Roman" w:ascii="Times New Roman" w:hAnsi="Times New Roman" w:eastAsiaTheme="minorEastAsia"/>
          <w:bCs/>
          <w:sz w:val="28"/>
          <w:szCs w:val="28"/>
        </w:rPr>
        <w:t>На сегодня нами ведется работа с местным предпринимателем по предоставлению земельного участка для инвестиционного проекта по переработке зерновых и масленичных культур, объем инвестиций составит ориентировочно 25 миллионов, 5 из которых уже вложены в проект.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Развитие межмуниципального сотрудничества с Шарыповским муниципальным округом</w:t>
      </w:r>
      <w:r>
        <w:rPr>
          <w:rFonts w:eastAsia="SimSun" w:cs="Times New Roman" w:ascii="Times New Roman" w:hAnsi="Times New Roman"/>
          <w:sz w:val="28"/>
          <w:szCs w:val="28"/>
        </w:rPr>
        <w:t xml:space="preserve"> одно из приоритетных направлений.</w:t>
      </w:r>
      <w:r>
        <w:rPr>
          <w:rFonts w:cs="Times New Roman" w:ascii="Times New Roman" w:hAnsi="Times New Roman"/>
          <w:sz w:val="28"/>
          <w:szCs w:val="28"/>
        </w:rPr>
        <w:t xml:space="preserve"> С Шарыповским муниципальным округом мы единое целое, у нас неразрывные связи в экономической и социальной сферах. Поэтому успешное социально-экономическое развитие наших территорий без совместных усилий невозможно. Перспективы взаимовыгодного сотрудничества мы видим в том числе в рамках реализации инвестиционных проектов в сфере туризма, а также проектов АО «СИБАГРО БИОТЕХ» по строительству завода по глубокой переработке зерна и ОАО «РУСАЛ Ачинский глиноземный комбинат» по разработке месторождения нефелиновых руд в Горячегорске.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8. Нормативно – правовое регулирование, меры поддержки </w:t>
      </w:r>
    </w:p>
    <w:p>
      <w:pPr>
        <w:pStyle w:val="BodyText"/>
        <w:ind w:firstLine="709" w:left="260"/>
        <w:jc w:val="both"/>
        <w:rPr/>
      </w:pPr>
      <w:r>
        <w:rPr/>
      </w:r>
    </w:p>
    <w:p>
      <w:pPr>
        <w:pStyle w:val="BodyText"/>
        <w:ind w:firstLine="709" w:left="0"/>
        <w:jc w:val="both"/>
        <w:rPr/>
      </w:pPr>
      <w:r>
        <w:rPr/>
        <w:t>В Красноярском крае действует единая система государственной поддержки</w:t>
      </w:r>
      <w:r>
        <w:rPr>
          <w:spacing w:val="1"/>
        </w:rPr>
        <w:t xml:space="preserve"> </w:t>
      </w:r>
      <w:r>
        <w:rPr/>
        <w:t>инвестиционной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предприятий,</w:t>
      </w:r>
      <w:r>
        <w:rPr>
          <w:spacing w:val="1"/>
        </w:rPr>
        <w:t xml:space="preserve"> </w:t>
      </w:r>
      <w:r>
        <w:rPr/>
        <w:t>утвержденная</w:t>
      </w:r>
      <w:r>
        <w:rPr>
          <w:spacing w:val="1"/>
        </w:rPr>
        <w:t xml:space="preserve"> </w:t>
      </w:r>
      <w:r>
        <w:rPr/>
        <w:t>нормативными</w:t>
      </w:r>
      <w:r>
        <w:rPr>
          <w:spacing w:val="1"/>
        </w:rPr>
        <w:t xml:space="preserve"> </w:t>
      </w:r>
      <w:r>
        <w:rPr/>
        <w:t>правовыми</w:t>
      </w:r>
      <w:r>
        <w:rPr>
          <w:spacing w:val="1"/>
        </w:rPr>
        <w:t xml:space="preserve"> </w:t>
      </w:r>
      <w:r>
        <w:rPr/>
        <w:t>актами,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определяют</w:t>
      </w:r>
      <w:r>
        <w:rPr>
          <w:spacing w:val="1"/>
        </w:rPr>
        <w:t xml:space="preserve"> </w:t>
      </w:r>
      <w:r>
        <w:rPr/>
        <w:t>правовые,</w:t>
      </w:r>
      <w:r>
        <w:rPr>
          <w:spacing w:val="1"/>
        </w:rPr>
        <w:t xml:space="preserve"> </w:t>
      </w:r>
      <w:r>
        <w:rPr/>
        <w:t>организационные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экономические</w:t>
      </w:r>
      <w:r>
        <w:rPr>
          <w:spacing w:val="1"/>
        </w:rPr>
        <w:t xml:space="preserve"> </w:t>
      </w:r>
      <w:r>
        <w:rPr/>
        <w:t>основы</w:t>
      </w:r>
      <w:r>
        <w:rPr>
          <w:spacing w:val="1"/>
        </w:rPr>
        <w:t xml:space="preserve"> </w:t>
      </w:r>
      <w:r>
        <w:rPr/>
        <w:t>инвестиционной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региона,</w:t>
      </w:r>
      <w:r>
        <w:rPr>
          <w:spacing w:val="1"/>
        </w:rPr>
        <w:t xml:space="preserve"> </w:t>
      </w:r>
      <w:r>
        <w:rPr/>
        <w:t>а</w:t>
      </w:r>
      <w:r>
        <w:rPr>
          <w:spacing w:val="-67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устанавливают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методы</w:t>
      </w:r>
      <w:r>
        <w:rPr>
          <w:spacing w:val="1"/>
        </w:rPr>
        <w:t xml:space="preserve"> </w:t>
      </w:r>
      <w:r>
        <w:rPr/>
        <w:t>поддержки,</w:t>
      </w:r>
      <w:r>
        <w:rPr>
          <w:spacing w:val="1"/>
        </w:rPr>
        <w:t xml:space="preserve"> </w:t>
      </w:r>
      <w:r>
        <w:rPr/>
        <w:t>защиты</w:t>
      </w:r>
      <w:r>
        <w:rPr>
          <w:spacing w:val="1"/>
        </w:rPr>
        <w:t xml:space="preserve"> </w:t>
      </w:r>
      <w:r>
        <w:rPr/>
        <w:t>прав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законных</w:t>
      </w:r>
      <w:r>
        <w:rPr>
          <w:spacing w:val="1"/>
        </w:rPr>
        <w:t xml:space="preserve"> </w:t>
      </w:r>
      <w:r>
        <w:rPr/>
        <w:t>интересов</w:t>
      </w:r>
      <w:r>
        <w:rPr>
          <w:spacing w:val="1"/>
        </w:rPr>
        <w:t xml:space="preserve"> </w:t>
      </w:r>
      <w:r>
        <w:rPr/>
        <w:t>участников</w:t>
      </w:r>
      <w:r>
        <w:rPr>
          <w:spacing w:val="1"/>
        </w:rPr>
        <w:t xml:space="preserve"> </w:t>
      </w:r>
      <w:r>
        <w:rPr/>
        <w:t>инвестиционной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стороны</w:t>
      </w:r>
      <w:r>
        <w:rPr>
          <w:spacing w:val="1"/>
        </w:rPr>
        <w:t xml:space="preserve"> </w:t>
      </w:r>
      <w:r>
        <w:rPr/>
        <w:t>органов</w:t>
      </w:r>
      <w:r>
        <w:rPr>
          <w:spacing w:val="-67"/>
        </w:rPr>
        <w:t xml:space="preserve"> </w:t>
      </w:r>
      <w:r>
        <w:rPr/>
        <w:t>государственной</w:t>
      </w:r>
      <w:r>
        <w:rPr>
          <w:spacing w:val="-1"/>
        </w:rPr>
        <w:t xml:space="preserve"> </w:t>
      </w:r>
      <w:r>
        <w:rPr/>
        <w:t>власти края</w:t>
      </w:r>
      <w:r>
        <w:rPr>
          <w:spacing w:val="-4"/>
        </w:rPr>
        <w:t xml:space="preserve"> </w:t>
      </w:r>
      <w:r>
        <w:rPr/>
        <w:t>и органов</w:t>
      </w:r>
      <w:r>
        <w:rPr>
          <w:spacing w:val="-5"/>
        </w:rPr>
        <w:t xml:space="preserve"> </w:t>
      </w:r>
      <w:r>
        <w:rPr/>
        <w:t>местного</w:t>
      </w:r>
      <w:r>
        <w:rPr>
          <w:spacing w:val="1"/>
        </w:rPr>
        <w:t xml:space="preserve"> </w:t>
      </w:r>
      <w:r>
        <w:rPr/>
        <w:t>самоуправления.</w:t>
      </w:r>
    </w:p>
    <w:p>
      <w:pPr>
        <w:pStyle w:val="BodyText"/>
        <w:ind w:firstLine="709" w:left="0"/>
        <w:jc w:val="both"/>
        <w:rPr/>
      </w:pPr>
      <w:r>
        <w:rPr/>
        <w:t>Основным</w:t>
      </w:r>
      <w:r>
        <w:rPr>
          <w:spacing w:val="1"/>
        </w:rPr>
        <w:t xml:space="preserve"> </w:t>
      </w:r>
      <w:r>
        <w:rPr/>
        <w:t>нормативно-правовым</w:t>
      </w:r>
      <w:r>
        <w:rPr>
          <w:spacing w:val="1"/>
        </w:rPr>
        <w:t xml:space="preserve"> </w:t>
      </w:r>
      <w:r>
        <w:rPr/>
        <w:t>актом,</w:t>
      </w:r>
      <w:r>
        <w:rPr>
          <w:spacing w:val="1"/>
        </w:rPr>
        <w:t xml:space="preserve"> </w:t>
      </w:r>
      <w:r>
        <w:rPr/>
        <w:t>регламентирующим</w:t>
      </w:r>
      <w:r>
        <w:rPr>
          <w:spacing w:val="1"/>
        </w:rPr>
        <w:t xml:space="preserve"> </w:t>
      </w:r>
      <w:r>
        <w:rPr/>
        <w:t>оказание</w:t>
      </w:r>
      <w:r>
        <w:rPr>
          <w:spacing w:val="-67"/>
        </w:rPr>
        <w:t xml:space="preserve"> </w:t>
      </w:r>
      <w:r>
        <w:rPr/>
        <w:t>государственной поддержки, является Закон Красноярского края от 11.07.2019 №</w:t>
      </w:r>
      <w:r>
        <w:rPr>
          <w:spacing w:val="1"/>
        </w:rPr>
        <w:t xml:space="preserve"> </w:t>
      </w:r>
      <w:r>
        <w:rPr/>
        <w:t>7-2919 «Об</w:t>
      </w:r>
      <w:r>
        <w:rPr>
          <w:spacing w:val="-2"/>
        </w:rPr>
        <w:t xml:space="preserve"> </w:t>
      </w:r>
      <w:r>
        <w:rPr/>
        <w:t>инвестиционной</w:t>
      </w:r>
      <w:r>
        <w:rPr>
          <w:spacing w:val="-4"/>
        </w:rPr>
        <w:t xml:space="preserve"> </w:t>
      </w:r>
      <w:r>
        <w:rPr/>
        <w:t>политике в</w:t>
      </w:r>
      <w:r>
        <w:rPr>
          <w:spacing w:val="2"/>
        </w:rPr>
        <w:t xml:space="preserve"> </w:t>
      </w:r>
      <w:r>
        <w:rPr/>
        <w:t>Красноярском крае».</w:t>
      </w:r>
    </w:p>
    <w:p>
      <w:pPr>
        <w:pStyle w:val="BodyText"/>
        <w:ind w:firstLine="709" w:left="0"/>
        <w:jc w:val="both"/>
        <w:rPr/>
      </w:pPr>
      <w:r>
        <w:rPr/>
        <w:t>Подробную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возможности</w:t>
      </w:r>
      <w:r>
        <w:rPr>
          <w:spacing w:val="1"/>
        </w:rPr>
        <w:t xml:space="preserve"> </w:t>
      </w:r>
      <w:r>
        <w:rPr/>
        <w:t>получения</w:t>
      </w:r>
      <w:r>
        <w:rPr>
          <w:spacing w:val="1"/>
        </w:rPr>
        <w:t xml:space="preserve"> </w:t>
      </w:r>
      <w:r>
        <w:rPr/>
        <w:t>государственной</w:t>
      </w:r>
      <w:r>
        <w:rPr>
          <w:spacing w:val="1"/>
        </w:rPr>
        <w:t xml:space="preserve"> </w:t>
      </w:r>
      <w:r>
        <w:rPr/>
        <w:t>поддержки</w:t>
      </w:r>
      <w:r>
        <w:rPr>
          <w:spacing w:val="1"/>
        </w:rPr>
        <w:t xml:space="preserve"> </w:t>
      </w:r>
      <w:r>
        <w:rPr/>
        <w:t>инвестиционной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институтах</w:t>
      </w:r>
      <w:r>
        <w:rPr>
          <w:spacing w:val="71"/>
        </w:rPr>
        <w:t xml:space="preserve"> </w:t>
      </w:r>
      <w:r>
        <w:rPr/>
        <w:t>поддержки</w:t>
      </w:r>
      <w:r>
        <w:rPr>
          <w:spacing w:val="1"/>
        </w:rPr>
        <w:t xml:space="preserve"> </w:t>
      </w:r>
      <w:r>
        <w:rPr/>
        <w:t>инвестиционной деятельности на уровне Красноярского края можно получить на</w:t>
      </w:r>
      <w:r>
        <w:rPr>
          <w:spacing w:val="1"/>
        </w:rPr>
        <w:t xml:space="preserve"> </w:t>
      </w:r>
      <w:r>
        <w:rPr/>
        <w:t>Инвестиционном</w:t>
      </w:r>
      <w:r>
        <w:rPr>
          <w:spacing w:val="1"/>
        </w:rPr>
        <w:t xml:space="preserve"> </w:t>
      </w:r>
      <w:r>
        <w:rPr/>
        <w:t>портале</w:t>
      </w:r>
      <w:r>
        <w:rPr>
          <w:spacing w:val="1"/>
        </w:rPr>
        <w:t xml:space="preserve"> </w:t>
      </w:r>
      <w:r>
        <w:rPr/>
        <w:t>Красноярского</w:t>
      </w:r>
      <w:r>
        <w:rPr>
          <w:spacing w:val="1"/>
        </w:rPr>
        <w:t xml:space="preserve"> </w:t>
      </w:r>
      <w:r>
        <w:rPr/>
        <w:t>края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разделе</w:t>
      </w:r>
      <w:r>
        <w:rPr>
          <w:spacing w:val="1"/>
        </w:rPr>
        <w:t xml:space="preserve"> </w:t>
      </w:r>
      <w:r>
        <w:rPr/>
        <w:t>«Поддержка</w:t>
      </w:r>
      <w:r>
        <w:rPr>
          <w:spacing w:val="1"/>
        </w:rPr>
        <w:t xml:space="preserve"> </w:t>
      </w:r>
      <w:r>
        <w:rPr/>
        <w:t>бизнеса»</w:t>
      </w:r>
      <w:r>
        <w:rPr>
          <w:spacing w:val="1"/>
        </w:rPr>
        <w:t xml:space="preserve"> </w:t>
      </w:r>
      <w:r>
        <w:rPr/>
        <w:t>(ссылка:</w:t>
      </w:r>
      <w:r>
        <w:rPr>
          <w:spacing w:val="1"/>
        </w:rPr>
        <w:t xml:space="preserve"> </w:t>
      </w:r>
      <w:hyperlink r:id="rId16">
        <w:r>
          <w:rPr>
            <w:color w:val="0000FF"/>
            <w:u w:val="single" w:color="0000FF"/>
          </w:rPr>
          <w:t>http://krskinvest.ru</w:t>
        </w:r>
      </w:hyperlink>
      <w:r>
        <w:rPr/>
        <w:t>).</w:t>
      </w:r>
    </w:p>
    <w:p>
      <w:pPr>
        <w:pStyle w:val="BodyText"/>
        <w:ind w:firstLine="709" w:left="0"/>
        <w:jc w:val="both"/>
        <w:rPr>
          <w:spacing w:val="1"/>
        </w:rPr>
      </w:pPr>
      <w:r>
        <w:rPr/>
        <w:t>В соответствии с Федеральным законом от 24.07.2007 № 209-ФЗ «О развитии</w:t>
      </w:r>
      <w:r>
        <w:rPr>
          <w:spacing w:val="-67"/>
        </w:rPr>
        <w:t xml:space="preserve"> </w:t>
      </w:r>
      <w:r>
        <w:rPr/>
        <w:t>малого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предпринимательства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Федерации»,</w:t>
      </w:r>
      <w:r>
        <w:rPr>
          <w:spacing w:val="1"/>
        </w:rPr>
        <w:t xml:space="preserve"> </w:t>
      </w:r>
      <w:r>
        <w:rPr/>
        <w:t>постановлением Администрации города Шарыпово от 27.06.2019 №142 «Об утверждении Порядка формирования ведения, обязательного опубликования перечня муниципального имущества муниципального образования «город Шарыпово Красноярского края»,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передачи во владение и (или) в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предпринимательства» в</w:t>
      </w:r>
      <w:r>
        <w:rPr>
          <w:spacing w:val="1"/>
        </w:rPr>
        <w:t xml:space="preserve"> </w:t>
      </w:r>
      <w:r>
        <w:rPr/>
        <w:t>целях</w:t>
      </w:r>
      <w:r>
        <w:rPr>
          <w:b/>
          <w:spacing w:val="1"/>
        </w:rPr>
        <w:t xml:space="preserve"> </w:t>
      </w:r>
      <w:r>
        <w:rPr>
          <w:b/>
        </w:rPr>
        <w:t>осуществления</w:t>
      </w:r>
      <w:r>
        <w:rPr>
          <w:b/>
          <w:spacing w:val="1"/>
        </w:rPr>
        <w:t xml:space="preserve"> </w:t>
      </w:r>
      <w:r>
        <w:rPr>
          <w:b/>
        </w:rPr>
        <w:t>имущественной</w:t>
      </w:r>
      <w:r>
        <w:rPr>
          <w:b/>
          <w:spacing w:val="1"/>
        </w:rPr>
        <w:t xml:space="preserve"> </w:t>
      </w:r>
      <w:r>
        <w:rPr>
          <w:b/>
        </w:rPr>
        <w:t>поддержки</w:t>
      </w:r>
      <w:r>
        <w:rPr>
          <w:spacing w:val="1"/>
        </w:rPr>
        <w:t xml:space="preserve"> </w:t>
      </w:r>
      <w:r>
        <w:rPr>
          <w:b/>
        </w:rPr>
        <w:t>субъектов</w:t>
      </w:r>
      <w:r>
        <w:rPr>
          <w:b/>
          <w:spacing w:val="1"/>
        </w:rPr>
        <w:t xml:space="preserve"> </w:t>
      </w:r>
      <w:r>
        <w:rPr>
          <w:b/>
        </w:rPr>
        <w:t>малого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среднего</w:t>
      </w:r>
      <w:r>
        <w:rPr>
          <w:b/>
          <w:spacing w:val="1"/>
        </w:rPr>
        <w:t xml:space="preserve"> </w:t>
      </w:r>
      <w:r>
        <w:rPr>
          <w:b/>
        </w:rPr>
        <w:t>предпринимательства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организаций,</w:t>
      </w:r>
      <w:r>
        <w:rPr>
          <w:spacing w:val="1"/>
        </w:rPr>
        <w:t xml:space="preserve"> </w:t>
      </w:r>
      <w:r>
        <w:rPr/>
        <w:t>образующих</w:t>
      </w:r>
      <w:r>
        <w:rPr>
          <w:spacing w:val="1"/>
        </w:rPr>
        <w:t xml:space="preserve"> </w:t>
      </w:r>
      <w:r>
        <w:rPr/>
        <w:t>инфраструктуру</w:t>
      </w:r>
      <w:r>
        <w:rPr>
          <w:spacing w:val="1"/>
        </w:rPr>
        <w:t xml:space="preserve"> </w:t>
      </w:r>
      <w:r>
        <w:rPr/>
        <w:t>поддержки</w:t>
      </w:r>
      <w:r>
        <w:rPr>
          <w:spacing w:val="1"/>
        </w:rPr>
        <w:t xml:space="preserve"> </w:t>
      </w:r>
      <w:r>
        <w:rPr/>
        <w:t>субъектов малого и среднего предпринимательства, на территории городского округа</w:t>
      </w:r>
      <w:r>
        <w:rPr>
          <w:spacing w:val="1"/>
        </w:rPr>
        <w:t xml:space="preserve"> </w:t>
      </w:r>
      <w:r>
        <w:rPr/>
        <w:t>сформирован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утвержден</w:t>
      </w:r>
      <w:r>
        <w:rPr>
          <w:spacing w:val="1"/>
        </w:rPr>
        <w:t xml:space="preserve"> п</w:t>
      </w:r>
      <w:r>
        <w:rPr/>
        <w:t>остановлением Администрации города Шарыпово от 18.11.2019 №250 перечень муниципального имущества муниципального образования «город Шарыпово Красноярского края»,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передачи во владение и (или) в пользование субъектам малого и среднего предпринимательства и организациям, образующим инфраструктуру поддержки малого и среднего предпринимательства.</w:t>
      </w:r>
    </w:p>
    <w:p>
      <w:pPr>
        <w:pStyle w:val="BodyText"/>
        <w:ind w:firstLine="709" w:left="0"/>
        <w:jc w:val="both"/>
        <w:rPr/>
      </w:pPr>
      <w:r>
        <w:rPr/>
        <w:t>Постановлением Администрации города Шарыпово от 08.04.2021 №77 утвержден Порядок и условия предоставления субъектам малого и среднего предпринимательства, организациям, образующим инфраструктуру поддержки субъектов малого и среднего предпринимательства в аренду муниципального имущества, включенного в Перечень муниципального имущества муниципального образования «город Шарыпово Красноярского края»,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передачи во владение и (или) в пользование на долгосрочной основе (в том числе по льготным ставкам арендной платы) субъектам малого и среднего предпринимательства).</w:t>
      </w:r>
    </w:p>
    <w:p>
      <w:pPr>
        <w:pStyle w:val="BodyText"/>
        <w:ind w:firstLine="709" w:left="0"/>
        <w:jc w:val="both"/>
        <w:rPr/>
      </w:pPr>
      <w:r>
        <w:rPr/>
        <w:t>Преимущественное право субъектов малого и среднего предпринимательства</w:t>
      </w:r>
      <w:r>
        <w:rPr>
          <w:spacing w:val="-67"/>
        </w:rPr>
        <w:t xml:space="preserve"> </w:t>
      </w:r>
      <w:r>
        <w:rPr/>
        <w:t>на выкуп ими арендуемого недвижимого имущества реализуется в соответствии с</w:t>
      </w:r>
      <w:r>
        <w:rPr>
          <w:spacing w:val="1"/>
        </w:rPr>
        <w:t xml:space="preserve"> </w:t>
      </w:r>
      <w:r>
        <w:rPr/>
        <w:t>Федеральным</w:t>
      </w:r>
      <w:r>
        <w:rPr>
          <w:spacing w:val="1"/>
        </w:rPr>
        <w:t xml:space="preserve"> </w:t>
      </w:r>
      <w:r>
        <w:rPr/>
        <w:t>законом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22.07.2008</w:t>
      </w:r>
      <w:r>
        <w:rPr>
          <w:spacing w:val="1"/>
        </w:rPr>
        <w:t xml:space="preserve"> </w:t>
      </w:r>
      <w:r>
        <w:rPr/>
        <w:t>№</w:t>
      </w:r>
      <w:r>
        <w:rPr>
          <w:spacing w:val="1"/>
        </w:rPr>
        <w:t xml:space="preserve"> </w:t>
      </w:r>
      <w:r>
        <w:rPr/>
        <w:t>159-ФЗ</w:t>
      </w:r>
      <w:r>
        <w:rPr>
          <w:spacing w:val="1"/>
        </w:rPr>
        <w:t xml:space="preserve"> </w:t>
      </w:r>
      <w:r>
        <w:rPr/>
        <w:t>«Об</w:t>
      </w:r>
      <w:r>
        <w:rPr>
          <w:spacing w:val="1"/>
        </w:rPr>
        <w:t xml:space="preserve"> </w:t>
      </w:r>
      <w:r>
        <w:rPr/>
        <w:t>особенностях</w:t>
      </w:r>
      <w:r>
        <w:rPr>
          <w:spacing w:val="1"/>
        </w:rPr>
        <w:t xml:space="preserve"> </w:t>
      </w:r>
      <w:r>
        <w:rPr/>
        <w:t>отчуждения</w:t>
      </w:r>
      <w:r>
        <w:rPr>
          <w:spacing w:val="1"/>
        </w:rPr>
        <w:t xml:space="preserve"> </w:t>
      </w:r>
      <w:r>
        <w:rPr/>
        <w:t>недвижимого</w:t>
      </w:r>
      <w:r>
        <w:rPr>
          <w:spacing w:val="1"/>
        </w:rPr>
        <w:t xml:space="preserve"> </w:t>
      </w:r>
      <w:r>
        <w:rPr/>
        <w:t>имущества,</w:t>
      </w:r>
      <w:r>
        <w:rPr>
          <w:spacing w:val="1"/>
        </w:rPr>
        <w:t xml:space="preserve"> </w:t>
      </w:r>
      <w:r>
        <w:rPr/>
        <w:t>находящегося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государственной</w:t>
      </w:r>
      <w:r>
        <w:rPr>
          <w:spacing w:val="1"/>
        </w:rPr>
        <w:t xml:space="preserve"> </w:t>
      </w:r>
      <w:r>
        <w:rPr/>
        <w:t>собственности</w:t>
      </w:r>
      <w:r>
        <w:rPr>
          <w:spacing w:val="1"/>
        </w:rPr>
        <w:t xml:space="preserve"> </w:t>
      </w:r>
      <w:r>
        <w:rPr/>
        <w:t>субъектов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муниципальной</w:t>
      </w:r>
      <w:r>
        <w:rPr>
          <w:spacing w:val="1"/>
        </w:rPr>
        <w:t xml:space="preserve"> </w:t>
      </w:r>
      <w:r>
        <w:rPr/>
        <w:t>собственности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арендуемого субъектами малого и среднего предпринимательства, и о внесении</w:t>
      </w:r>
      <w:r>
        <w:rPr>
          <w:spacing w:val="1"/>
        </w:rPr>
        <w:t xml:space="preserve"> </w:t>
      </w:r>
      <w:r>
        <w:rPr/>
        <w:t>изменений</w:t>
      </w:r>
      <w:r>
        <w:rPr>
          <w:spacing w:val="-1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отдельные законодательные</w:t>
      </w:r>
      <w:r>
        <w:rPr>
          <w:spacing w:val="-1"/>
        </w:rPr>
        <w:t xml:space="preserve"> </w:t>
      </w:r>
      <w:r>
        <w:rPr/>
        <w:t>акты Российской</w:t>
      </w:r>
      <w:r>
        <w:rPr>
          <w:spacing w:val="-4"/>
        </w:rPr>
        <w:t xml:space="preserve"> </w:t>
      </w:r>
      <w:r>
        <w:rPr/>
        <w:t>Федерации».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Органом,</w:t>
      </w:r>
      <w:r>
        <w:rPr>
          <w:rFonts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уполномоченным</w:t>
      </w:r>
      <w:r>
        <w:rPr>
          <w:rFonts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на</w:t>
      </w:r>
      <w:r>
        <w:rPr>
          <w:rFonts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проведение</w:t>
      </w:r>
      <w:r>
        <w:rPr>
          <w:rFonts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конкурсов,</w:t>
      </w:r>
      <w:r>
        <w:rPr>
          <w:rFonts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аукционов</w:t>
      </w:r>
      <w:r>
        <w:rPr>
          <w:rFonts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при</w:t>
      </w:r>
      <w:r>
        <w:rPr>
          <w:rFonts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оказании</w:t>
      </w:r>
      <w:r>
        <w:rPr>
          <w:rFonts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имущественной</w:t>
      </w:r>
      <w:r>
        <w:rPr>
          <w:rFonts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поддержки</w:t>
      </w:r>
      <w:r>
        <w:rPr>
          <w:rFonts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субъектам</w:t>
      </w:r>
      <w:r>
        <w:rPr>
          <w:rFonts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малого</w:t>
      </w:r>
      <w:r>
        <w:rPr>
          <w:rFonts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и</w:t>
      </w:r>
      <w:r>
        <w:rPr>
          <w:rFonts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среднего</w:t>
      </w:r>
      <w:r>
        <w:rPr>
          <w:rFonts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предпринимательства</w:t>
      </w:r>
      <w:r>
        <w:rPr>
          <w:rFonts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путем</w:t>
      </w:r>
      <w:r>
        <w:rPr>
          <w:rFonts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передачи</w:t>
      </w:r>
      <w:r>
        <w:rPr>
          <w:rFonts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в</w:t>
      </w:r>
      <w:r>
        <w:rPr>
          <w:rFonts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аренду</w:t>
      </w:r>
      <w:r>
        <w:rPr>
          <w:rFonts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имущества,</w:t>
      </w:r>
      <w:r>
        <w:rPr>
          <w:rFonts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отчуждения</w:t>
      </w:r>
      <w:r>
        <w:rPr>
          <w:rFonts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арендуемого недвижимого имущества при реализации преимущественного права</w:t>
      </w:r>
      <w:r>
        <w:rPr>
          <w:rFonts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выкупа</w:t>
      </w:r>
      <w:r>
        <w:rPr>
          <w:rFonts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является</w:t>
      </w:r>
      <w:r>
        <w:rPr>
          <w:rFonts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Комитет</w:t>
      </w:r>
      <w:r>
        <w:rPr>
          <w:rFonts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по</w:t>
      </w:r>
      <w:r>
        <w:rPr>
          <w:rFonts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управлению</w:t>
      </w:r>
      <w:r>
        <w:rPr>
          <w:rFonts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муниципальным</w:t>
      </w:r>
      <w:r>
        <w:rPr>
          <w:rFonts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имуществом</w:t>
      </w:r>
      <w:r>
        <w:rPr>
          <w:rFonts w:cs="Times New Roman" w:ascii="Times New Roman" w:hAnsi="Times New Roman"/>
          <w:spacing w:val="1"/>
          <w:sz w:val="28"/>
          <w:szCs w:val="28"/>
        </w:rPr>
        <w:t xml:space="preserve"> и земельными отношениями Администрации </w:t>
      </w:r>
      <w:r>
        <w:rPr>
          <w:rFonts w:cs="Times New Roman" w:ascii="Times New Roman" w:hAnsi="Times New Roman"/>
          <w:sz w:val="28"/>
          <w:szCs w:val="28"/>
        </w:rPr>
        <w:t>города</w:t>
      </w:r>
      <w:r>
        <w:rPr>
          <w:rFonts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Шарыпово.</w:t>
      </w:r>
    </w:p>
    <w:p>
      <w:pPr>
        <w:pStyle w:val="BodyText"/>
        <w:ind w:firstLine="709" w:left="0"/>
        <w:jc w:val="both"/>
        <w:rPr/>
      </w:pPr>
      <w:r>
        <w:rPr/>
        <w:t>Передача</w:t>
      </w:r>
      <w:r>
        <w:rPr>
          <w:spacing w:val="1"/>
        </w:rPr>
        <w:t xml:space="preserve"> </w:t>
      </w:r>
      <w:r>
        <w:rPr/>
        <w:t>имущества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концессионному</w:t>
      </w:r>
      <w:r>
        <w:rPr>
          <w:spacing w:val="1"/>
        </w:rPr>
        <w:t xml:space="preserve"> </w:t>
      </w:r>
      <w:r>
        <w:rPr/>
        <w:t>соглашению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порядке,</w:t>
      </w:r>
      <w:r>
        <w:rPr>
          <w:spacing w:val="1"/>
        </w:rPr>
        <w:t xml:space="preserve"> </w:t>
      </w:r>
      <w:r>
        <w:rPr/>
        <w:t>установленном</w:t>
      </w:r>
      <w:r>
        <w:rPr>
          <w:spacing w:val="1"/>
        </w:rPr>
        <w:t xml:space="preserve"> </w:t>
      </w:r>
      <w:r>
        <w:rPr/>
        <w:t>Федеральным</w:t>
      </w:r>
      <w:r>
        <w:rPr>
          <w:spacing w:val="1"/>
        </w:rPr>
        <w:t xml:space="preserve"> </w:t>
      </w:r>
      <w:r>
        <w:rPr/>
        <w:t>законом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21.07.2005</w:t>
      </w:r>
      <w:r>
        <w:rPr>
          <w:spacing w:val="1"/>
        </w:rPr>
        <w:t xml:space="preserve"> </w:t>
      </w:r>
      <w:r>
        <w:rPr/>
        <w:t>№</w:t>
      </w:r>
      <w:r>
        <w:rPr>
          <w:spacing w:val="1"/>
        </w:rPr>
        <w:t xml:space="preserve"> </w:t>
      </w:r>
      <w:r>
        <w:rPr/>
        <w:t>115-ФЗ</w:t>
      </w:r>
      <w:r>
        <w:rPr>
          <w:spacing w:val="1"/>
        </w:rPr>
        <w:t xml:space="preserve"> </w:t>
      </w:r>
      <w:r>
        <w:rPr/>
        <w:t>«О</w:t>
      </w:r>
      <w:r>
        <w:rPr>
          <w:spacing w:val="1"/>
        </w:rPr>
        <w:t xml:space="preserve"> </w:t>
      </w:r>
      <w:r>
        <w:rPr/>
        <w:t>концессионных соглашениях».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Органом, уполномоченным на передачу в концессию имущества, является</w:t>
      </w:r>
      <w:r>
        <w:rPr>
          <w:rFonts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Комитет</w:t>
      </w:r>
      <w:r>
        <w:rPr>
          <w:rFonts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по</w:t>
      </w:r>
      <w:r>
        <w:rPr>
          <w:rFonts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управлению</w:t>
      </w:r>
      <w:r>
        <w:rPr>
          <w:rFonts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муниципальным</w:t>
      </w:r>
      <w:r>
        <w:rPr>
          <w:rFonts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имуществом</w:t>
      </w:r>
      <w:r>
        <w:rPr>
          <w:rFonts w:cs="Times New Roman" w:ascii="Times New Roman" w:hAnsi="Times New Roman"/>
          <w:spacing w:val="1"/>
          <w:sz w:val="28"/>
          <w:szCs w:val="28"/>
        </w:rPr>
        <w:t xml:space="preserve"> и земельными отношениями Администрации </w:t>
      </w:r>
      <w:r>
        <w:rPr>
          <w:rFonts w:cs="Times New Roman" w:ascii="Times New Roman" w:hAnsi="Times New Roman"/>
          <w:sz w:val="28"/>
          <w:szCs w:val="28"/>
        </w:rPr>
        <w:t>города</w:t>
      </w:r>
      <w:r>
        <w:rPr>
          <w:rFonts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Шарыпово</w:t>
      </w:r>
      <w:r>
        <w:rPr>
          <w:rFonts w:cs="Times New Roman" w:ascii="Times New Roman" w:hAnsi="Times New Roman"/>
          <w:i/>
          <w:sz w:val="28"/>
          <w:szCs w:val="28"/>
        </w:rPr>
        <w:t>.</w:t>
      </w:r>
    </w:p>
    <w:p>
      <w:pPr>
        <w:pStyle w:val="BodyText"/>
        <w:ind w:firstLine="709" w:left="0"/>
        <w:jc w:val="both"/>
        <w:rPr/>
      </w:pP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Федеральным</w:t>
      </w:r>
      <w:r>
        <w:rPr>
          <w:spacing w:val="1"/>
        </w:rPr>
        <w:t xml:space="preserve"> </w:t>
      </w:r>
      <w:r>
        <w:rPr/>
        <w:t>законом</w:t>
      </w:r>
      <w:r>
        <w:rPr>
          <w:spacing w:val="1"/>
        </w:rPr>
        <w:t xml:space="preserve"> </w:t>
      </w:r>
      <w:r>
        <w:rPr/>
        <w:t>№172–ФЗ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28.06.2014</w:t>
      </w:r>
      <w:r>
        <w:rPr>
          <w:spacing w:val="1"/>
        </w:rPr>
        <w:t xml:space="preserve"> </w:t>
      </w:r>
      <w:r>
        <w:rPr/>
        <w:t>«О</w:t>
      </w:r>
      <w:r>
        <w:rPr>
          <w:spacing w:val="1"/>
        </w:rPr>
        <w:t xml:space="preserve"> </w:t>
      </w:r>
      <w:r>
        <w:rPr/>
        <w:t>стратегическом</w:t>
      </w:r>
      <w:r>
        <w:rPr>
          <w:spacing w:val="1"/>
        </w:rPr>
        <w:t xml:space="preserve"> </w:t>
      </w:r>
      <w:r>
        <w:rPr/>
        <w:t>планировании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Федерации»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городе</w:t>
      </w:r>
      <w:r>
        <w:rPr>
          <w:spacing w:val="1"/>
        </w:rPr>
        <w:t xml:space="preserve"> </w:t>
      </w:r>
      <w:r>
        <w:rPr/>
        <w:t>разработан</w:t>
      </w:r>
      <w:r>
        <w:rPr>
          <w:spacing w:val="1"/>
        </w:rPr>
        <w:t xml:space="preserve"> </w:t>
      </w:r>
      <w:r>
        <w:rPr/>
        <w:t>комплекс</w:t>
      </w:r>
      <w:r>
        <w:rPr>
          <w:spacing w:val="1"/>
        </w:rPr>
        <w:t xml:space="preserve"> </w:t>
      </w:r>
      <w:r>
        <w:rPr/>
        <w:t>нормативных</w:t>
      </w:r>
      <w:r>
        <w:rPr>
          <w:spacing w:val="1"/>
        </w:rPr>
        <w:t xml:space="preserve"> </w:t>
      </w:r>
      <w:r>
        <w:rPr/>
        <w:t>актов,</w:t>
      </w:r>
      <w:r>
        <w:rPr>
          <w:spacing w:val="1"/>
        </w:rPr>
        <w:t xml:space="preserve"> </w:t>
      </w:r>
      <w:r>
        <w:rPr/>
        <w:t>устанавливающих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направления</w:t>
      </w:r>
      <w:r>
        <w:rPr>
          <w:spacing w:val="1"/>
        </w:rPr>
        <w:t xml:space="preserve"> </w:t>
      </w:r>
      <w:r>
        <w:rPr/>
        <w:t>инвестиционной</w:t>
      </w:r>
      <w:r>
        <w:rPr>
          <w:spacing w:val="1"/>
        </w:rPr>
        <w:t xml:space="preserve"> </w:t>
      </w:r>
      <w:r>
        <w:rPr/>
        <w:t>политики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малого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предпринимательства</w:t>
      </w:r>
      <w:r>
        <w:rPr>
          <w:spacing w:val="1"/>
        </w:rPr>
        <w:t xml:space="preserve"> </w:t>
      </w:r>
      <w:r>
        <w:rPr/>
        <w:t>муниципального</w:t>
      </w:r>
      <w:r>
        <w:rPr>
          <w:spacing w:val="-3"/>
        </w:rPr>
        <w:t xml:space="preserve"> </w:t>
      </w:r>
      <w:r>
        <w:rPr/>
        <w:t>образования: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Проект Стратегии социально-экономического развития города Шарыпово до 2030 года</w:t>
      </w:r>
      <w:r>
        <w:rPr>
          <w:rFonts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cs="Times New Roman" w:ascii="Times New Roman" w:hAnsi="Times New Roman"/>
          <w:color w:val="0000FF"/>
          <w:sz w:val="28"/>
          <w:szCs w:val="28"/>
          <w:u w:val="single" w:color="0000FF"/>
        </w:rPr>
        <w:t>https://sharypovo.gosuslugi.ru/deyatelnost/napravleniya-deyatelnosti/ekonomika-i-predprinimatelstvo/strategiya-razvitiya-do-2030-goda/</w:t>
      </w:r>
      <w:r>
        <w:rPr>
          <w:rFonts w:cs="Times New Roman" w:ascii="Times New Roman" w:hAnsi="Times New Roman"/>
          <w:sz w:val="28"/>
          <w:szCs w:val="28"/>
        </w:rPr>
        <w:t>;</w:t>
      </w:r>
    </w:p>
    <w:p>
      <w:pPr>
        <w:pStyle w:val="BodyText"/>
        <w:ind w:firstLine="709" w:left="0"/>
        <w:jc w:val="both"/>
        <w:rPr/>
      </w:pPr>
      <w:r>
        <w:rPr/>
        <w:t>муниципальная программа «Развитие инвестиционной деятельности, малого и среднего предпринимательства на территории муниципального образования города Шарыпово»,</w:t>
      </w:r>
      <w:r>
        <w:rPr>
          <w:spacing w:val="25"/>
        </w:rPr>
        <w:t xml:space="preserve"> </w:t>
      </w:r>
      <w:r>
        <w:rPr/>
        <w:t>утверждена</w:t>
      </w:r>
      <w:r>
        <w:rPr>
          <w:spacing w:val="22"/>
        </w:rPr>
        <w:t xml:space="preserve"> </w:t>
      </w:r>
      <w:r>
        <w:rPr/>
        <w:t>постановлением</w:t>
      </w:r>
      <w:r>
        <w:rPr>
          <w:spacing w:val="24"/>
        </w:rPr>
        <w:t xml:space="preserve"> </w:t>
      </w:r>
      <w:r>
        <w:rPr/>
        <w:t>администрации</w:t>
      </w:r>
      <w:r>
        <w:rPr>
          <w:spacing w:val="24"/>
        </w:rPr>
        <w:t xml:space="preserve"> </w:t>
      </w:r>
      <w:r>
        <w:rPr/>
        <w:t>г.</w:t>
      </w:r>
      <w:r>
        <w:rPr>
          <w:spacing w:val="24"/>
        </w:rPr>
        <w:t xml:space="preserve"> </w:t>
      </w:r>
      <w:r>
        <w:rPr/>
        <w:t>Шарыпово</w:t>
      </w:r>
      <w:r>
        <w:rPr>
          <w:spacing w:val="24"/>
        </w:rPr>
        <w:t xml:space="preserve"> </w:t>
      </w:r>
      <w:r>
        <w:rPr/>
        <w:t xml:space="preserve">от 04.10.2013 № 244 </w:t>
      </w:r>
      <w:r>
        <w:rPr>
          <w:rFonts w:eastAsia="Calibri" w:eastAsiaTheme="minorHAnsi"/>
          <w:color w:val="0000FF"/>
          <w:u w:val="single" w:color="0000FF"/>
        </w:rPr>
        <w:t>https://sharypovo.gosuslugi.ru/deyatelnost/proekty-i-programmy/munitsipalnaya-progoramma-razvitie-msp/.</w:t>
      </w:r>
    </w:p>
    <w:p>
      <w:pPr>
        <w:pStyle w:val="BodyText"/>
        <w:ind w:firstLine="709" w:left="0"/>
        <w:jc w:val="both"/>
        <w:rPr/>
      </w:pPr>
      <w:r>
        <w:rPr/>
        <w:t>В</w:t>
      </w:r>
      <w:r>
        <w:rPr>
          <w:spacing w:val="1"/>
        </w:rPr>
        <w:t xml:space="preserve"> </w:t>
      </w:r>
      <w:r>
        <w:rPr/>
        <w:t>городе Шарыпово</w:t>
      </w:r>
      <w:r>
        <w:rPr>
          <w:spacing w:val="1"/>
        </w:rPr>
        <w:t xml:space="preserve"> </w:t>
      </w:r>
      <w:r>
        <w:rPr/>
        <w:t>функционируют</w:t>
      </w:r>
      <w:r>
        <w:rPr>
          <w:spacing w:val="1"/>
        </w:rPr>
        <w:t xml:space="preserve"> </w:t>
      </w:r>
      <w:r>
        <w:rPr/>
        <w:t>совещательные</w:t>
      </w:r>
      <w:r>
        <w:rPr>
          <w:spacing w:val="1"/>
        </w:rPr>
        <w:t xml:space="preserve"> </w:t>
      </w:r>
      <w:r>
        <w:rPr/>
        <w:t>органы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предпринимательской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возложены</w:t>
      </w:r>
      <w:r>
        <w:rPr>
          <w:spacing w:val="1"/>
        </w:rPr>
        <w:t xml:space="preserve"> </w:t>
      </w:r>
      <w:r>
        <w:rPr/>
        <w:t>полномочия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рассмотрению вопросов в сфере улучшения инвестиционного климата, развития</w:t>
      </w:r>
      <w:r>
        <w:rPr>
          <w:spacing w:val="1"/>
        </w:rPr>
        <w:t xml:space="preserve"> </w:t>
      </w:r>
      <w:r>
        <w:rPr/>
        <w:t>малого и среднего</w:t>
      </w:r>
      <w:r>
        <w:rPr>
          <w:spacing w:val="-3"/>
        </w:rPr>
        <w:t xml:space="preserve"> </w:t>
      </w:r>
      <w:r>
        <w:rPr/>
        <w:t>предпринимательства:</w:t>
      </w:r>
    </w:p>
    <w:p>
      <w:pPr>
        <w:pStyle w:val="BodyText"/>
        <w:spacing w:lineRule="exact" w:line="320"/>
        <w:ind w:firstLine="709" w:left="0"/>
        <w:jc w:val="both"/>
        <w:rPr/>
      </w:pPr>
      <w:r>
        <w:rPr/>
        <w:t>Инвестиционный</w:t>
      </w:r>
      <w:r>
        <w:rPr>
          <w:spacing w:val="-4"/>
        </w:rPr>
        <w:t xml:space="preserve"> </w:t>
      </w:r>
      <w:r>
        <w:rPr/>
        <w:t>совет</w:t>
      </w:r>
      <w:r>
        <w:rPr>
          <w:spacing w:val="-2"/>
        </w:rPr>
        <w:t xml:space="preserve"> </w:t>
      </w:r>
      <w:r>
        <w:rPr/>
        <w:t>при</w:t>
      </w:r>
      <w:r>
        <w:rPr>
          <w:spacing w:val="-3"/>
        </w:rPr>
        <w:t xml:space="preserve"> </w:t>
      </w:r>
      <w:r>
        <w:rPr/>
        <w:t>главе</w:t>
      </w:r>
      <w:r>
        <w:rPr>
          <w:spacing w:val="-3"/>
        </w:rPr>
        <w:t xml:space="preserve"> </w:t>
      </w:r>
      <w:r>
        <w:rPr/>
        <w:t>города</w:t>
      </w:r>
      <w:r>
        <w:rPr>
          <w:spacing w:val="-3"/>
        </w:rPr>
        <w:t xml:space="preserve"> </w:t>
      </w:r>
      <w:r>
        <w:rPr/>
        <w:t>Шарыпово;</w:t>
      </w:r>
    </w:p>
    <w:p>
      <w:pPr>
        <w:pStyle w:val="BodyText"/>
        <w:ind w:firstLine="709" w:left="0"/>
        <w:jc w:val="both"/>
        <w:rPr/>
      </w:pPr>
      <w:r>
        <w:rPr/>
        <w:t>Координационный совет по развитию малого и среднего предпринимательства, конкуренции при Администрации города Шарыпово;</w:t>
      </w:r>
    </w:p>
    <w:p>
      <w:pPr>
        <w:pStyle w:val="BodyText"/>
        <w:ind w:firstLine="709" w:left="0"/>
        <w:jc w:val="both"/>
        <w:rPr/>
      </w:pPr>
      <w:r>
        <w:rPr/>
        <w:t>Определен</w:t>
      </w:r>
      <w:r>
        <w:rPr>
          <w:spacing w:val="1"/>
        </w:rPr>
        <w:t xml:space="preserve"> </w:t>
      </w:r>
      <w:r>
        <w:rPr/>
        <w:t>инвестиционный уполномоченный;</w:t>
      </w:r>
    </w:p>
    <w:p>
      <w:pPr>
        <w:pStyle w:val="BodyText"/>
        <w:ind w:firstLine="709" w:left="0"/>
        <w:jc w:val="both"/>
        <w:rPr/>
      </w:pPr>
      <w:r>
        <w:rPr/>
        <w:t>Общественный</w:t>
      </w:r>
      <w:r>
        <w:rPr>
          <w:spacing w:val="1"/>
        </w:rPr>
        <w:t xml:space="preserve"> </w:t>
      </w:r>
      <w:r>
        <w:rPr/>
        <w:t>представитель</w:t>
      </w:r>
      <w:r>
        <w:rPr>
          <w:spacing w:val="1"/>
        </w:rPr>
        <w:t xml:space="preserve"> </w:t>
      </w:r>
      <w:r>
        <w:rPr/>
        <w:t>уполномоченного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защите</w:t>
      </w:r>
      <w:r>
        <w:rPr>
          <w:spacing w:val="1"/>
        </w:rPr>
        <w:t xml:space="preserve"> </w:t>
      </w:r>
      <w:r>
        <w:rPr/>
        <w:t>прав</w:t>
      </w:r>
      <w:r>
        <w:rPr>
          <w:spacing w:val="1"/>
        </w:rPr>
        <w:t xml:space="preserve"> </w:t>
      </w:r>
      <w:r>
        <w:rPr/>
        <w:t>предпринимателей</w:t>
      </w:r>
      <w:r>
        <w:rPr>
          <w:spacing w:val="-4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Красноярском крае</w:t>
      </w:r>
      <w:r>
        <w:rPr>
          <w:spacing w:val="-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городу</w:t>
      </w:r>
      <w:r>
        <w:rPr>
          <w:spacing w:val="-4"/>
        </w:rPr>
        <w:t xml:space="preserve"> </w:t>
      </w:r>
      <w:r>
        <w:rPr/>
        <w:t>Шарыпово.</w:t>
      </w:r>
    </w:p>
    <w:p>
      <w:pPr>
        <w:pStyle w:val="BodyText"/>
        <w:ind w:firstLine="709" w:left="0"/>
        <w:jc w:val="both"/>
        <w:rPr>
          <w:color w:val="0000FF"/>
          <w:u w:val="single" w:color="0000FF"/>
        </w:rPr>
      </w:pPr>
      <w:r>
        <w:rPr/>
        <w:t>Ведется</w:t>
      </w:r>
      <w:r>
        <w:rPr>
          <w:spacing w:val="1"/>
        </w:rPr>
        <w:t xml:space="preserve"> </w:t>
      </w:r>
      <w:r>
        <w:rPr/>
        <w:t>постоянная</w:t>
      </w:r>
      <w:r>
        <w:rPr>
          <w:spacing w:val="1"/>
        </w:rPr>
        <w:t xml:space="preserve"> </w:t>
      </w:r>
      <w:r>
        <w:rPr/>
        <w:t>работа,</w:t>
      </w:r>
      <w:r>
        <w:rPr>
          <w:spacing w:val="1"/>
        </w:rPr>
        <w:t xml:space="preserve"> </w:t>
      </w:r>
      <w:r>
        <w:rPr/>
        <w:t>направленная</w:t>
      </w:r>
      <w:r>
        <w:rPr>
          <w:spacing w:val="1"/>
        </w:rPr>
        <w:t xml:space="preserve"> </w:t>
      </w:r>
      <w:r>
        <w:rPr/>
        <w:t>на</w:t>
      </w:r>
      <w:r>
        <w:rPr>
          <w:spacing w:val="71"/>
        </w:rPr>
        <w:t xml:space="preserve"> </w:t>
      </w:r>
      <w:r>
        <w:rPr/>
        <w:t>оптимизацию</w:t>
      </w:r>
      <w:r>
        <w:rPr>
          <w:spacing w:val="1"/>
        </w:rPr>
        <w:t xml:space="preserve"> </w:t>
      </w:r>
      <w:r>
        <w:rPr/>
        <w:t>административных</w:t>
      </w:r>
      <w:r>
        <w:rPr>
          <w:spacing w:val="1"/>
        </w:rPr>
        <w:t xml:space="preserve"> </w:t>
      </w:r>
      <w:r>
        <w:rPr/>
        <w:t>процедур,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счет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1"/>
        </w:rPr>
        <w:t xml:space="preserve"> </w:t>
      </w:r>
      <w:r>
        <w:rPr/>
        <w:t>«электронного</w:t>
      </w:r>
      <w:r>
        <w:rPr>
          <w:spacing w:val="1"/>
        </w:rPr>
        <w:t xml:space="preserve"> </w:t>
      </w:r>
      <w:r>
        <w:rPr/>
        <w:t>правительства»:</w:t>
      </w:r>
      <w:r>
        <w:rPr>
          <w:spacing w:val="1"/>
        </w:rPr>
        <w:t xml:space="preserve"> </w:t>
      </w:r>
      <w:r>
        <w:rPr/>
        <w:t>представляется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подачи</w:t>
      </w:r>
      <w:r>
        <w:rPr>
          <w:spacing w:val="1"/>
        </w:rPr>
        <w:t xml:space="preserve"> </w:t>
      </w:r>
      <w:r>
        <w:rPr/>
        <w:t>инвестором</w:t>
      </w:r>
      <w:r>
        <w:rPr>
          <w:spacing w:val="1"/>
        </w:rPr>
        <w:t xml:space="preserve"> </w:t>
      </w:r>
      <w:r>
        <w:rPr/>
        <w:t>заявлений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электронном</w:t>
      </w:r>
      <w:r>
        <w:rPr>
          <w:spacing w:val="1"/>
        </w:rPr>
        <w:t xml:space="preserve"> </w:t>
      </w:r>
      <w:r>
        <w:rPr/>
        <w:t>виде,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предпринимателей</w:t>
      </w:r>
      <w:r>
        <w:rPr>
          <w:spacing w:val="1"/>
        </w:rPr>
        <w:t xml:space="preserve"> </w:t>
      </w:r>
      <w:r>
        <w:rPr/>
        <w:t>имеется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получения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электронной форме (в том числе через МФЦ) муниципальных услуг.</w:t>
      </w:r>
      <w:r>
        <w:rPr>
          <w:spacing w:val="1"/>
        </w:rPr>
        <w:t xml:space="preserve"> </w:t>
      </w:r>
      <w:r>
        <w:rPr/>
        <w:t>Сроки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порядок</w:t>
      </w:r>
      <w:r>
        <w:rPr>
          <w:spacing w:val="1"/>
        </w:rPr>
        <w:t xml:space="preserve"> </w:t>
      </w:r>
      <w:r>
        <w:rPr/>
        <w:t>прохождения</w:t>
      </w:r>
      <w:r>
        <w:rPr>
          <w:spacing w:val="1"/>
        </w:rPr>
        <w:t xml:space="preserve"> </w:t>
      </w:r>
      <w:r>
        <w:rPr/>
        <w:t>административных</w:t>
      </w:r>
      <w:r>
        <w:rPr>
          <w:spacing w:val="1"/>
        </w:rPr>
        <w:t xml:space="preserve"> </w:t>
      </w:r>
      <w:r>
        <w:rPr/>
        <w:t>процедур</w:t>
      </w:r>
      <w:r>
        <w:rPr>
          <w:spacing w:val="1"/>
        </w:rPr>
        <w:t xml:space="preserve"> </w:t>
      </w:r>
      <w:r>
        <w:rPr/>
        <w:t>утверждены</w:t>
      </w:r>
      <w:r>
        <w:rPr>
          <w:spacing w:val="1"/>
        </w:rPr>
        <w:t xml:space="preserve"> </w:t>
      </w:r>
      <w:r>
        <w:rPr/>
        <w:t>административными</w:t>
      </w:r>
      <w:r>
        <w:rPr>
          <w:spacing w:val="1"/>
        </w:rPr>
        <w:t xml:space="preserve"> </w:t>
      </w:r>
      <w:r>
        <w:rPr/>
        <w:t>регламентами,</w:t>
      </w:r>
      <w:r>
        <w:rPr>
          <w:spacing w:val="1"/>
        </w:rPr>
        <w:t xml:space="preserve"> </w:t>
      </w:r>
      <w:r>
        <w:rPr/>
        <w:t xml:space="preserve">документы размещены на сайте администрации города Шарыпово </w:t>
      </w:r>
      <w:r>
        <w:rPr>
          <w:color w:val="0000FF"/>
          <w:u w:val="single" w:color="0000FF"/>
        </w:rPr>
        <w:t>https://sharypovo-r04.gosweb.gosuslugi.ru/dlya-zhiteley/uslugi-i-servisy/administrativnye-reglamenty-munitsipalnyh-uslug/</w:t>
      </w:r>
    </w:p>
    <w:p>
      <w:pPr>
        <w:pStyle w:val="BodyText"/>
        <w:tabs>
          <w:tab w:val="clear" w:pos="708"/>
          <w:tab w:val="left" w:pos="1367" w:leader="none"/>
          <w:tab w:val="left" w:pos="1589" w:leader="none"/>
          <w:tab w:val="left" w:pos="3506" w:leader="none"/>
          <w:tab w:val="left" w:pos="4981" w:leader="none"/>
          <w:tab w:val="left" w:pos="5208" w:leader="none"/>
          <w:tab w:val="left" w:pos="5953" w:leader="none"/>
          <w:tab w:val="left" w:pos="6461" w:leader="none"/>
          <w:tab w:val="left" w:pos="6547" w:leader="none"/>
          <w:tab w:val="left" w:pos="7691" w:leader="none"/>
          <w:tab w:val="left" w:pos="8729" w:leader="none"/>
          <w:tab w:val="left" w:pos="8926" w:leader="none"/>
        </w:tabs>
        <w:ind w:firstLine="709" w:left="0"/>
        <w:jc w:val="both"/>
        <w:rPr/>
      </w:pPr>
      <w:r>
        <w:rPr/>
        <w:t>Оптимизация</w:t>
      </w:r>
      <w:r>
        <w:rPr>
          <w:spacing w:val="45"/>
        </w:rPr>
        <w:t xml:space="preserve"> </w:t>
      </w:r>
      <w:r>
        <w:rPr/>
        <w:t>административных</w:t>
      </w:r>
      <w:r>
        <w:rPr>
          <w:spacing w:val="45"/>
        </w:rPr>
        <w:t xml:space="preserve"> </w:t>
      </w:r>
      <w:r>
        <w:rPr/>
        <w:t>процедур</w:t>
      </w:r>
      <w:r>
        <w:rPr>
          <w:spacing w:val="46"/>
        </w:rPr>
        <w:t xml:space="preserve"> </w:t>
      </w:r>
      <w:r>
        <w:rPr/>
        <w:t>обеспечивается</w:t>
      </w:r>
      <w:r>
        <w:rPr>
          <w:spacing w:val="45"/>
        </w:rPr>
        <w:t xml:space="preserve"> </w:t>
      </w:r>
      <w:r>
        <w:rPr/>
        <w:t>за</w:t>
      </w:r>
      <w:r>
        <w:rPr>
          <w:spacing w:val="44"/>
        </w:rPr>
        <w:t xml:space="preserve"> </w:t>
      </w:r>
      <w:r>
        <w:rPr/>
        <w:t>счет</w:t>
      </w:r>
      <w:r>
        <w:rPr>
          <w:spacing w:val="43"/>
        </w:rPr>
        <w:t xml:space="preserve"> </w:t>
      </w:r>
      <w:r>
        <w:rPr/>
        <w:t>системы</w:t>
      </w:r>
      <w:r>
        <w:rPr>
          <w:spacing w:val="-67"/>
        </w:rPr>
        <w:t xml:space="preserve"> </w:t>
      </w:r>
      <w:r>
        <w:rPr/>
        <w:t>оценки регулирующего воздействия проектов муниципальных нормативных</w:t>
      </w:r>
      <w:r>
        <w:rPr>
          <w:spacing w:val="-67"/>
        </w:rPr>
        <w:t xml:space="preserve"> </w:t>
      </w:r>
      <w:r>
        <w:rPr/>
        <w:t>правовых</w:t>
      </w:r>
      <w:r>
        <w:rPr>
          <w:spacing w:val="43"/>
        </w:rPr>
        <w:t xml:space="preserve"> </w:t>
      </w:r>
      <w:r>
        <w:rPr/>
        <w:t>актов,</w:t>
      </w:r>
      <w:r>
        <w:rPr>
          <w:spacing w:val="40"/>
        </w:rPr>
        <w:t xml:space="preserve"> </w:t>
      </w:r>
      <w:r>
        <w:rPr/>
        <w:t>затрагивающих</w:t>
      </w:r>
      <w:r>
        <w:rPr>
          <w:spacing w:val="41"/>
        </w:rPr>
        <w:t xml:space="preserve"> </w:t>
      </w:r>
      <w:r>
        <w:rPr/>
        <w:t>вопросы</w:t>
      </w:r>
      <w:r>
        <w:rPr>
          <w:spacing w:val="41"/>
        </w:rPr>
        <w:t xml:space="preserve"> </w:t>
      </w:r>
      <w:r>
        <w:rPr/>
        <w:t>осуществления</w:t>
      </w:r>
      <w:r>
        <w:rPr>
          <w:spacing w:val="38"/>
        </w:rPr>
        <w:t xml:space="preserve"> </w:t>
      </w:r>
      <w:r>
        <w:rPr/>
        <w:t>предпринимательской</w:t>
      </w:r>
      <w:r>
        <w:rPr>
          <w:spacing w:val="39"/>
        </w:rPr>
        <w:t xml:space="preserve"> </w:t>
      </w:r>
      <w:r>
        <w:rPr/>
        <w:t>и</w:t>
      </w:r>
      <w:r>
        <w:rPr>
          <w:spacing w:val="-67"/>
        </w:rPr>
        <w:t xml:space="preserve"> </w:t>
      </w:r>
      <w:r>
        <w:rPr/>
        <w:t>инвестиционной</w:t>
      </w:r>
      <w:r>
        <w:rPr>
          <w:spacing w:val="18"/>
        </w:rPr>
        <w:t xml:space="preserve"> </w:t>
      </w:r>
      <w:r>
        <w:rPr/>
        <w:t>деятельности.</w:t>
      </w:r>
      <w:r>
        <w:rPr>
          <w:spacing w:val="12"/>
        </w:rPr>
        <w:t xml:space="preserve"> </w:t>
      </w:r>
      <w:r>
        <w:rPr/>
        <w:t>Для</w:t>
      </w:r>
      <w:r>
        <w:rPr>
          <w:spacing w:val="12"/>
        </w:rPr>
        <w:t xml:space="preserve"> </w:t>
      </w:r>
      <w:r>
        <w:rPr/>
        <w:t>этого</w:t>
      </w:r>
      <w:r>
        <w:rPr>
          <w:spacing w:val="10"/>
        </w:rPr>
        <w:t xml:space="preserve"> </w:t>
      </w:r>
      <w:r>
        <w:rPr/>
        <w:t>необходимо</w:t>
      </w:r>
      <w:r>
        <w:rPr>
          <w:spacing w:val="13"/>
        </w:rPr>
        <w:t xml:space="preserve"> </w:t>
      </w:r>
      <w:r>
        <w:rPr/>
        <w:t>зайти</w:t>
      </w:r>
      <w:r>
        <w:rPr>
          <w:spacing w:val="10"/>
        </w:rPr>
        <w:t xml:space="preserve"> </w:t>
      </w:r>
      <w:r>
        <w:rPr/>
        <w:t>на</w:t>
      </w:r>
      <w:r>
        <w:rPr>
          <w:spacing w:val="12"/>
        </w:rPr>
        <w:t xml:space="preserve"> </w:t>
      </w:r>
      <w:r>
        <w:rPr/>
        <w:t>сайт</w:t>
      </w:r>
      <w:r>
        <w:rPr>
          <w:spacing w:val="12"/>
        </w:rPr>
        <w:t xml:space="preserve"> </w:t>
      </w:r>
      <w:r>
        <w:rPr/>
        <w:t>администрации,</w:t>
      </w:r>
      <w:r>
        <w:rPr>
          <w:spacing w:val="12"/>
        </w:rPr>
        <w:t xml:space="preserve"> </w:t>
      </w:r>
      <w:r>
        <w:rPr/>
        <w:t>где</w:t>
      </w:r>
      <w:r>
        <w:rPr>
          <w:spacing w:val="10"/>
        </w:rPr>
        <w:t xml:space="preserve"> </w:t>
      </w:r>
      <w:r>
        <w:rPr/>
        <w:t>размещены</w:t>
      </w:r>
      <w:r>
        <w:rPr>
          <w:spacing w:val="-67"/>
        </w:rPr>
        <w:t xml:space="preserve"> </w:t>
      </w:r>
      <w:r>
        <w:rPr/>
        <w:t xml:space="preserve">проекты нормативных правовых актов: </w:t>
      </w:r>
      <w:r>
        <w:rPr>
          <w:color w:val="0000FF"/>
          <w:u w:val="single" w:color="0000FF"/>
        </w:rPr>
        <w:t>https://sharypovo-r04.gosweb.gosuslugi.ru/ofitsialno/otsenka-reguliruyuschego-vozdeystviya/</w:t>
      </w:r>
      <w:r>
        <w:rPr/>
        <w:t>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Утверждены документы, регламентирующие отдельные аспекты, связанные с</w:t>
      </w:r>
      <w:r>
        <w:rPr>
          <w:rFonts w:cs="Times New Roman" w:ascii="Times New Roman" w:hAnsi="Times New Roman"/>
          <w:spacing w:val="-67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деятельностью субъектов малого и среднего предпринимательства. В частности,</w:t>
      </w:r>
      <w:r>
        <w:rPr>
          <w:rFonts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постановлением администрации города Шарыпово от 02.10.2017 № 182 (в ред. от 22.04.2024 №89) утверждена</w:t>
      </w:r>
      <w:r>
        <w:rPr>
          <w:rFonts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схема</w:t>
      </w:r>
      <w:r>
        <w:rPr>
          <w:rFonts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размещения</w:t>
      </w:r>
      <w:r>
        <w:rPr>
          <w:rFonts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нестационарных</w:t>
      </w:r>
      <w:r>
        <w:rPr>
          <w:rFonts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торговых</w:t>
      </w:r>
      <w:r>
        <w:rPr>
          <w:rFonts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объектов</w:t>
      </w:r>
      <w:r>
        <w:rPr>
          <w:rFonts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на территории муниципального образования города Шарыпово, постановлением администрации города Шарыпово от 18.07.2017 № 133 (в ред. от 29.01.2024 №11) утверждена схема размещения временных сооружений на территории муниципального образования города Шарыпово:</w:t>
      </w:r>
      <w:r>
        <w:rPr>
          <w:rFonts w:cs="Times New Roman" w:ascii="Times New Roman" w:hAnsi="Times New Roman"/>
          <w:spacing w:val="1"/>
          <w:sz w:val="28"/>
          <w:szCs w:val="28"/>
        </w:rPr>
        <w:t xml:space="preserve"> </w:t>
      </w:r>
      <w:hyperlink r:id="rId17">
        <w:r>
          <w:rPr>
            <w:rFonts w:cs="Times New Roman" w:ascii="Times New Roman" w:hAnsi="Times New Roman"/>
            <w:color w:val="0000FF"/>
            <w:sz w:val="28"/>
            <w:szCs w:val="28"/>
            <w:u w:val="single" w:color="0000FF"/>
          </w:rPr>
          <w:t>https://sharypovo-r04.gosweb.gosuslugi.ru/deyatelnost/napravleniya-deyatelnosti/ekonomika-i-predprinimatelstvo/shema-nestatsionarnyh-torgovyh-obektov-i-vremennyh-sooruzheniy/</w:t>
        </w:r>
      </w:hyperlink>
      <w:r>
        <w:rPr>
          <w:rFonts w:cs="Times New Roman" w:ascii="Times New Roman" w:hAnsi="Times New Roman"/>
          <w:sz w:val="28"/>
          <w:szCs w:val="28"/>
        </w:rPr>
        <w:t>.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Перечень свободного муниципального имущества, предназначенного для</w:t>
      </w:r>
      <w:r>
        <w:rPr>
          <w:rFonts w:cs="Times New Roman" w:ascii="Times New Roman" w:hAnsi="Times New Roman"/>
          <w:spacing w:val="-67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передачи во владение, пользование субъектам малого и среднего</w:t>
      </w:r>
      <w:r>
        <w:rPr>
          <w:rFonts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предпринимательства представлен в приложении №1.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Реестр территорий (земельных участков), рекомендуемых для рассмотрения инвесторами в целях реализации новых инвестиционных проектов Красноярского края представлен в приложении №2.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color w:val="0000FF"/>
          <w:sz w:val="28"/>
          <w:szCs w:val="28"/>
          <w:u w:val="single" w:color="0000FF"/>
        </w:rPr>
      </w:pPr>
      <w:r>
        <w:rPr>
          <w:rFonts w:cs="Times New Roman" w:ascii="Times New Roman" w:hAnsi="Times New Roman"/>
          <w:b/>
          <w:sz w:val="28"/>
          <w:szCs w:val="28"/>
        </w:rPr>
        <w:t>Финансовая поддержка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субъектов малого и среднего</w:t>
      </w:r>
      <w:r>
        <w:rPr>
          <w:rFonts w:cs="Times New Roman" w:ascii="Times New Roman" w:hAnsi="Times New Roman"/>
          <w:b/>
          <w:spacing w:val="1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предпринимательства</w:t>
      </w:r>
      <w:r>
        <w:rPr>
          <w:rFonts w:cs="Times New Roman" w:ascii="Times New Roman" w:hAnsi="Times New Roman"/>
          <w:sz w:val="28"/>
          <w:szCs w:val="28"/>
        </w:rPr>
        <w:t xml:space="preserve"> осуществляется в рамках средств предусмотренных муниципальной программой «Развитие инвестиционной деятельности, малого и среднего предпринимательства на территории муниципального образования города Шарыпово». Порядок предоставления субсидий субъектам малого и среднего предпринимательства и физическим лицам, применяющим специальный налоговый режим «Налог на профессиональный доход» на возмещение затрат при осуществлении предпринимательской деятельности, а также Порядок предоставления грантов в форме субсидий субъектам малого и среднего предпринимательства на начало ведения предпринимательской деятельности размещен по ссылке: </w:t>
      </w:r>
      <w:hyperlink r:id="rId18">
        <w:r>
          <w:rPr>
            <w:rFonts w:cs="Times New Roman" w:ascii="Times New Roman" w:hAnsi="Times New Roman"/>
            <w:color w:val="0000FF"/>
            <w:sz w:val="28"/>
            <w:szCs w:val="28"/>
            <w:u w:val="single" w:color="0000FF"/>
          </w:rPr>
          <w:t>https://sharypovo-r04.gosweb.gosuslugi.ru/deyatelnost/mery-podderzhki/podderzhka-nalog-na-professionalnyy-dohod/</w:t>
        </w:r>
      </w:hyperlink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Оказание информационно-консультационных услуг субъектам малого и среднего предпринимательства</w:t>
      </w:r>
      <w:r>
        <w:rPr>
          <w:rFonts w:cs="Times New Roman" w:ascii="Times New Roman" w:hAnsi="Times New Roman"/>
          <w:sz w:val="28"/>
          <w:szCs w:val="28"/>
        </w:rPr>
        <w:t xml:space="preserve"> осуществляется специалистами отдела экономики и планирования Администрации города Шарыпово в соответствии с постановлением от 21.05.2021 №100.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9. Контактная информация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Глава города Шарыпово – Хохлов Вадим Геннадьевич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Первый заместитель Главы города Шарыпово – Саюшев Дмитрий Викторович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тел.8(39153) 21190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адрес электронной почты: adm@57.krskcit.ru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официальный сайт: </w:t>
      </w:r>
      <w:hyperlink r:id="rId19">
        <w:r>
          <w:rPr>
            <w:rFonts w:cs="Times New Roman" w:ascii="Times New Roman" w:hAnsi="Times New Roman"/>
            <w:color w:val="0000FF"/>
            <w:sz w:val="28"/>
            <w:szCs w:val="28"/>
            <w:u w:val="single" w:color="0000FF"/>
          </w:rPr>
          <w:t>https://sharypovo.gosuslugi.ru/</w:t>
        </w:r>
      </w:hyperlink>
      <w:r>
        <w:rPr>
          <w:rFonts w:cs="Times New Roman" w:ascii="Times New Roman" w:hAnsi="Times New Roman"/>
          <w:color w:val="0000FF"/>
          <w:sz w:val="28"/>
          <w:szCs w:val="28"/>
          <w:u w:val="single" w:color="0000FF"/>
        </w:rPr>
        <w:t xml:space="preserve">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Контактные лица, ответственные за работу с инвесторами: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sectPr>
          <w:type w:val="continuous"/>
          <w:pgSz w:w="11906" w:h="16838"/>
          <w:pgMar w:left="1701" w:right="850" w:gutter="0" w:header="0" w:top="1134" w:footer="0" w:bottom="1134"/>
          <w:formProt w:val="false"/>
          <w:textDirection w:val="lrTb"/>
          <w:docGrid w:type="default" w:linePitch="360" w:charSpace="4096"/>
        </w:sectPr>
      </w:pPr>
    </w:p>
    <w:tbl>
      <w:tblPr>
        <w:tblStyle w:val="a5"/>
        <w:tblW w:w="934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830"/>
        <w:gridCol w:w="1978"/>
        <w:gridCol w:w="1613"/>
        <w:gridCol w:w="2923"/>
      </w:tblGrid>
      <w:tr>
        <w:trPr/>
        <w:tc>
          <w:tcPr>
            <w:tcW w:w="2830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Должность</w:t>
            </w:r>
          </w:p>
        </w:tc>
        <w:tc>
          <w:tcPr>
            <w:tcW w:w="1978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ФИО</w:t>
            </w:r>
          </w:p>
        </w:tc>
        <w:tc>
          <w:tcPr>
            <w:tcW w:w="1613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Телефон</w:t>
            </w:r>
          </w:p>
        </w:tc>
        <w:tc>
          <w:tcPr>
            <w:tcW w:w="2923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Адрес электронной почты</w:t>
            </w:r>
          </w:p>
        </w:tc>
      </w:tr>
      <w:tr>
        <w:trPr/>
        <w:tc>
          <w:tcPr>
            <w:tcW w:w="2830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Инвестиционный уполномоченный – начальник отдела экономики и планирования Администрации города Шарыпово</w:t>
            </w:r>
          </w:p>
        </w:tc>
        <w:tc>
          <w:tcPr>
            <w:tcW w:w="1978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Орлова Елена Николаевна</w:t>
            </w:r>
          </w:p>
        </w:tc>
        <w:tc>
          <w:tcPr>
            <w:tcW w:w="1613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8(39153) 21812</w:t>
            </w:r>
          </w:p>
        </w:tc>
        <w:tc>
          <w:tcPr>
            <w:tcW w:w="2923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plan@57.krskcit.ru</w:t>
            </w:r>
          </w:p>
        </w:tc>
      </w:tr>
      <w:tr>
        <w:trPr/>
        <w:tc>
          <w:tcPr>
            <w:tcW w:w="2830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Руководитель комитета по управлению муниципальным имуществом и земельными отношениями</w:t>
            </w:r>
          </w:p>
        </w:tc>
        <w:tc>
          <w:tcPr>
            <w:tcW w:w="1978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Андриянова Ольга Геннадьевна</w:t>
            </w:r>
          </w:p>
        </w:tc>
        <w:tc>
          <w:tcPr>
            <w:tcW w:w="1613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8(39153) 34095</w:t>
            </w:r>
          </w:p>
        </w:tc>
        <w:tc>
          <w:tcPr>
            <w:tcW w:w="2923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kumi@57.krskcit.ru</w:t>
            </w:r>
          </w:p>
        </w:tc>
      </w:tr>
      <w:tr>
        <w:trPr/>
        <w:tc>
          <w:tcPr>
            <w:tcW w:w="2830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Начальник отдела архитектуры и градостроительства Администрации города Шарыпово</w:t>
            </w:r>
          </w:p>
        </w:tc>
        <w:tc>
          <w:tcPr>
            <w:tcW w:w="1978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Сухинин Никита Николаевич</w:t>
            </w:r>
          </w:p>
        </w:tc>
        <w:tc>
          <w:tcPr>
            <w:tcW w:w="1613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8 (39153) 34093</w:t>
            </w:r>
          </w:p>
        </w:tc>
        <w:tc>
          <w:tcPr>
            <w:tcW w:w="2923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oaig@57.krskcit.ru</w:t>
            </w:r>
          </w:p>
        </w:tc>
      </w:tr>
      <w:tr>
        <w:trPr/>
        <w:tc>
          <w:tcPr>
            <w:tcW w:w="2830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Главный специалист по вопросам развития предпринимательства и потребительского рынка отдела экономики и планирования Администрации города Шарыпово</w:t>
            </w:r>
          </w:p>
        </w:tc>
        <w:tc>
          <w:tcPr>
            <w:tcW w:w="1978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Жаркова Лариса Геннадьевна</w:t>
            </w:r>
          </w:p>
        </w:tc>
        <w:tc>
          <w:tcPr>
            <w:tcW w:w="1613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8 (39153) 21192</w:t>
            </w:r>
          </w:p>
        </w:tc>
        <w:tc>
          <w:tcPr>
            <w:tcW w:w="2923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en-US" w:eastAsia="en-US" w:bidi="ar-SA"/>
              </w:rPr>
              <w:t>econ.pred.adm@mail.ru</w:t>
            </w:r>
          </w:p>
        </w:tc>
      </w:tr>
    </w:tbl>
    <w:p>
      <w:pPr>
        <w:sectPr>
          <w:type w:val="continuous"/>
          <w:pgSz w:w="11906" w:h="16838"/>
          <w:pgMar w:left="1701" w:right="850" w:gutter="0" w:header="0" w:top="1134" w:footer="0" w:bottom="1134"/>
          <w:pgNumType w:fmt="decimal"/>
          <w:formProt w:val="false"/>
          <w:textDirection w:val="lrTb"/>
          <w:docGrid w:type="default" w:linePitch="360" w:charSpace="4096"/>
        </w:sectPr>
      </w:pPr>
    </w:p>
    <w:p>
      <w:pPr>
        <w:pStyle w:val="Normal"/>
        <w:spacing w:lineRule="auto" w:line="240" w:before="0"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Приложение №1</w:t>
      </w:r>
    </w:p>
    <w:p>
      <w:pPr>
        <w:pStyle w:val="Normal"/>
        <w:spacing w:lineRule="auto" w:line="240" w:before="0"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 инвестиционному паспорту</w:t>
      </w:r>
    </w:p>
    <w:p>
      <w:pPr>
        <w:pStyle w:val="Normal"/>
        <w:spacing w:lineRule="auto" w:line="240" w:before="0"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города Шарыпово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cs="Times New Roman" w:ascii="Times New Roman" w:hAnsi="Times New Roman"/>
          <w:sz w:val="18"/>
          <w:szCs w:val="18"/>
        </w:rPr>
      </w:r>
    </w:p>
    <w:p>
      <w:pPr>
        <w:pStyle w:val="Normal"/>
        <w:tabs>
          <w:tab w:val="clear" w:pos="708"/>
          <w:tab w:val="left" w:pos="6712" w:leader="none"/>
          <w:tab w:val="left" w:pos="10067" w:leader="none"/>
        </w:tabs>
        <w:spacing w:lineRule="auto" w:line="240" w:before="0" w:after="0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cs="Times New Roman" w:ascii="Times New Roman" w:hAnsi="Times New Roman"/>
          <w:sz w:val="18"/>
          <w:szCs w:val="18"/>
        </w:rPr>
        <w:t>Перечень</w:t>
      </w:r>
    </w:p>
    <w:p>
      <w:pPr>
        <w:pStyle w:val="Normal"/>
        <w:tabs>
          <w:tab w:val="clear" w:pos="708"/>
          <w:tab w:val="left" w:pos="6712" w:leader="none"/>
          <w:tab w:val="left" w:pos="10067" w:leader="none"/>
        </w:tabs>
        <w:spacing w:lineRule="auto" w:line="240" w:before="0" w:after="0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cs="Times New Roman" w:ascii="Times New Roman" w:hAnsi="Times New Roman"/>
          <w:sz w:val="18"/>
          <w:szCs w:val="18"/>
        </w:rPr>
        <w:t xml:space="preserve">муниципального имущества муниципального образования «город Шарыпово Красноярского края» </w:t>
      </w:r>
    </w:p>
    <w:p>
      <w:pPr>
        <w:pStyle w:val="Normal"/>
        <w:tabs>
          <w:tab w:val="clear" w:pos="708"/>
          <w:tab w:val="left" w:pos="6712" w:leader="none"/>
          <w:tab w:val="left" w:pos="10067" w:leader="none"/>
        </w:tabs>
        <w:spacing w:lineRule="auto" w:line="240" w:before="0" w:after="0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cs="Times New Roman" w:ascii="Times New Roman" w:hAnsi="Times New Roman"/>
          <w:sz w:val="18"/>
          <w:szCs w:val="18"/>
        </w:rPr>
        <w:t>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передачи во владение и (или) в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 (ред. постановления от 30.10.2023 №270)</w:t>
      </w:r>
    </w:p>
    <w:p>
      <w:pPr>
        <w:pStyle w:val="Normal"/>
        <w:tabs>
          <w:tab w:val="clear" w:pos="708"/>
          <w:tab w:val="left" w:pos="6712" w:leader="none"/>
          <w:tab w:val="left" w:pos="10067" w:leader="none"/>
        </w:tabs>
        <w:spacing w:lineRule="auto" w:line="240" w:before="0" w:after="0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cs="Times New Roman" w:ascii="Times New Roman" w:hAnsi="Times New Roman"/>
          <w:sz w:val="18"/>
          <w:szCs w:val="18"/>
        </w:rPr>
      </w:r>
    </w:p>
    <w:tbl>
      <w:tblPr>
        <w:tblW w:w="1540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580"/>
        <w:gridCol w:w="1147"/>
        <w:gridCol w:w="2058"/>
        <w:gridCol w:w="1276"/>
        <w:gridCol w:w="1418"/>
        <w:gridCol w:w="1417"/>
        <w:gridCol w:w="1211"/>
        <w:gridCol w:w="1621"/>
        <w:gridCol w:w="1259"/>
        <w:gridCol w:w="1260"/>
        <w:gridCol w:w="1080"/>
        <w:gridCol w:w="1080"/>
      </w:tblGrid>
      <w:tr>
        <w:trPr>
          <w:trHeight w:val="274" w:hRule="atLeast"/>
        </w:trPr>
        <w:tc>
          <w:tcPr>
            <w:tcW w:w="5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 xml:space="preserve">№ </w:t>
            </w:r>
            <w:r>
              <w:rPr>
                <w:rFonts w:cs="Times New Roman" w:ascii="Times New Roman" w:hAnsi="Times New Roman"/>
                <w:sz w:val="18"/>
                <w:szCs w:val="18"/>
              </w:rPr>
              <w:t>п/п</w:t>
            </w:r>
          </w:p>
        </w:tc>
        <w:tc>
          <w:tcPr>
            <w:tcW w:w="11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Номер</w:t>
            </w:r>
          </w:p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в реестре имущества</w:t>
            </w:r>
          </w:p>
        </w:tc>
        <w:tc>
          <w:tcPr>
            <w:tcW w:w="20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Адрес (местоположение) объекта</w:t>
            </w:r>
          </w:p>
        </w:tc>
        <w:tc>
          <w:tcPr>
            <w:tcW w:w="1162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Структурированный адрес объекта</w:t>
            </w:r>
          </w:p>
        </w:tc>
      </w:tr>
      <w:tr>
        <w:trPr>
          <w:trHeight w:val="982" w:hRule="atLeast"/>
        </w:trPr>
        <w:tc>
          <w:tcPr>
            <w:tcW w:w="5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11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205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Наименование субъекта Российской Федерации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Наименование городского округа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Наименование городского населенного пункта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Тип элемента планировочной структуры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Наименование элемента планировочной структуры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Тип элемента улично-дорожной сети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Наименование элемента улично-дорожной сети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Номер дома (включая литеру)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Тип и номер корпуса, строения, владения</w:t>
            </w:r>
          </w:p>
        </w:tc>
      </w:tr>
      <w:tr>
        <w:trPr>
          <w:trHeight w:val="226" w:hRule="atLeast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12</w:t>
            </w:r>
          </w:p>
        </w:tc>
      </w:tr>
      <w:tr>
        <w:trPr>
          <w:trHeight w:val="703" w:hRule="atLeast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208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Красноярский край,</w:t>
            </w:r>
          </w:p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г. Шарыпово, мкр. Северный, д.4, пом.108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Красноярский край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город Шарыпово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город Шарыпово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микрорайон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Северный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дом 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пом.108</w:t>
            </w:r>
          </w:p>
        </w:tc>
      </w:tr>
      <w:tr>
        <w:trPr>
          <w:trHeight w:val="1052" w:hRule="atLeast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364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Красноярский край,</w:t>
            </w:r>
          </w:p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г. Шарыпово,</w:t>
            </w:r>
          </w:p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п. Дубинино, ул. Пионеров КАТЭКа, д.19, пом.32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Красноярский край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город Шарыпово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поселок Дубинино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улица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Пионеров-КАТЭКа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дом 19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пом.32</w:t>
            </w:r>
          </w:p>
        </w:tc>
      </w:tr>
      <w:tr>
        <w:trPr>
          <w:trHeight w:val="1053" w:hRule="atLeast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35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Красноярский край,</w:t>
            </w:r>
          </w:p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г. Шарыпово,</w:t>
            </w:r>
          </w:p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п. Дубинино, ул. Пионеров КАТЭКа, д.19, пом.30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Красноярский край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город Шарыпово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поселок Дубинино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улица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Пионеров-КАТЭКа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дом 19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пом.30</w:t>
            </w:r>
          </w:p>
        </w:tc>
      </w:tr>
      <w:tr>
        <w:trPr>
          <w:trHeight w:val="721" w:hRule="atLeast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Красноярский край,</w:t>
            </w:r>
          </w:p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г. Шарыпово, мкр-н Северный, д.3, пом.111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Красноярский край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город Шарыпово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город Шарыпово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микрорайон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Северный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дом 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пом.111</w:t>
            </w:r>
          </w:p>
        </w:tc>
      </w:tr>
      <w:tr>
        <w:trPr>
          <w:trHeight w:val="283" w:hRule="atLeast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Красноярский край,</w:t>
            </w:r>
          </w:p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г. Шарыпово, мкр-н Северный, д.4, пом.104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Красноярский край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город Шарыпово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город Шарыпово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микрорайон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Северный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дом 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пом.104</w:t>
            </w:r>
          </w:p>
        </w:tc>
      </w:tr>
      <w:tr>
        <w:trPr>
          <w:trHeight w:val="616" w:hRule="atLeast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68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Красноярский край,</w:t>
            </w:r>
          </w:p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г. Шарыпово, мкр.1, д.7, пом.67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Красноярский край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город Шарыпово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город Шарыпово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микрорайон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дом 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пом.67</w:t>
            </w:r>
          </w:p>
        </w:tc>
      </w:tr>
      <w:tr>
        <w:trPr>
          <w:trHeight w:val="283" w:hRule="atLeast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47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Красноярский край,</w:t>
            </w:r>
          </w:p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г. Шарыпово,</w:t>
            </w:r>
          </w:p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п. Дубинино, ул. Пионеров КАТЭКа, д.19, пом.31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Красноярский край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город Шарыпово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поселок Дубинино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улица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Пионеров-КАТЭКа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дом 19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пом.31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cs="Times New Roman"/>
          <w:sz w:val="18"/>
          <w:szCs w:val="18"/>
        </w:rPr>
      </w:pPr>
      <w:r>
        <w:rPr>
          <w:rFonts w:cs="Times New Roman" w:ascii="Times New Roman" w:hAnsi="Times New Roman"/>
          <w:sz w:val="18"/>
          <w:szCs w:val="18"/>
        </w:rPr>
      </w:r>
    </w:p>
    <w:tbl>
      <w:tblPr>
        <w:tblW w:w="15410" w:type="dxa"/>
        <w:jc w:val="left"/>
        <w:tblInd w:w="-2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115"/>
        <w:gridCol w:w="838"/>
        <w:gridCol w:w="1256"/>
        <w:gridCol w:w="1221"/>
        <w:gridCol w:w="1980"/>
        <w:gridCol w:w="1404"/>
        <w:gridCol w:w="1390"/>
        <w:gridCol w:w="983"/>
        <w:gridCol w:w="1082"/>
        <w:gridCol w:w="900"/>
        <w:gridCol w:w="721"/>
        <w:gridCol w:w="900"/>
        <w:gridCol w:w="539"/>
        <w:gridCol w:w="1080"/>
      </w:tblGrid>
      <w:tr>
        <w:trPr>
          <w:trHeight w:val="716" w:hRule="atLeast"/>
        </w:trPr>
        <w:tc>
          <w:tcPr>
            <w:tcW w:w="11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Вид объекта недвижимости; движимое имущество</w:t>
            </w:r>
          </w:p>
        </w:tc>
        <w:tc>
          <w:tcPr>
            <w:tcW w:w="907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Сведения о недвижимом имуществе или о его части</w:t>
            </w:r>
          </w:p>
        </w:tc>
        <w:tc>
          <w:tcPr>
            <w:tcW w:w="522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Сведения о движимом имуществе</w:t>
            </w:r>
          </w:p>
        </w:tc>
      </w:tr>
      <w:tr>
        <w:trPr>
          <w:trHeight w:val="824" w:hRule="atLeast"/>
        </w:trPr>
        <w:tc>
          <w:tcPr>
            <w:tcW w:w="11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2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Кадастровый номер</w:t>
            </w:r>
          </w:p>
        </w:tc>
        <w:tc>
          <w:tcPr>
            <w:tcW w:w="12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Номер части объекта недвижимости согласно сведениям государственного кадастра недвижимости</w:t>
            </w:r>
          </w:p>
        </w:tc>
        <w:tc>
          <w:tcPr>
            <w:tcW w:w="4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Основная характеристика объекта недвижимости</w:t>
            </w:r>
          </w:p>
        </w:tc>
        <w:tc>
          <w:tcPr>
            <w:tcW w:w="9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Наименование объекта учета</w:t>
            </w:r>
          </w:p>
        </w:tc>
        <w:tc>
          <w:tcPr>
            <w:tcW w:w="10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 xml:space="preserve">Тип: оборудование, машины, механизмы, установки, транспортные средства, инвентарь, инструменты, иное 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Государственный регистрационный знак (при наличии)</w:t>
            </w:r>
          </w:p>
        </w:tc>
        <w:tc>
          <w:tcPr>
            <w:tcW w:w="7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Наименование объекта учета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Марка, модель</w:t>
            </w:r>
          </w:p>
        </w:tc>
        <w:tc>
          <w:tcPr>
            <w:tcW w:w="5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Год выпуска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Кадастровый номер объекта недвижимого имущества,</w:t>
            </w:r>
          </w:p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cs="Times New Roman" w:ascii="Times New Roman" w:hAnsi="Times New Roman"/>
                <w:sz w:val="18"/>
                <w:szCs w:val="18"/>
              </w:rPr>
              <w:t xml:space="preserve">в том числе земельного участка, </w:t>
            </w:r>
          </w:p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в (на) котором расположен объект</w:t>
            </w:r>
          </w:p>
        </w:tc>
      </w:tr>
      <w:tr>
        <w:trPr>
          <w:trHeight w:val="824" w:hRule="atLeast"/>
        </w:trPr>
        <w:tc>
          <w:tcPr>
            <w:tcW w:w="11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 xml:space="preserve">Номер 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Тип (кадастровый, условный, устаревший)</w:t>
            </w:r>
          </w:p>
        </w:tc>
        <w:tc>
          <w:tcPr>
            <w:tcW w:w="122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Тип (площадь- для земельных участков, зданий, помещений; протяженность, объем, площадь, глубина залегания и т.п.– для сооружений; протяженность, объем, площадь, глубина залегания и т.п. согласно проектной документации -для объектов незавершенного строительства)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 xml:space="preserve">Фактическое значение / проектируемое значение </w:t>
            </w:r>
          </w:p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(для объектов незавершенного строительства)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 xml:space="preserve">Единица измерения </w:t>
            </w:r>
          </w:p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(для площади – кв. м.; для протяженности – м; для глубины залегания – м; для объема – куб. м.)</w:t>
            </w:r>
          </w:p>
        </w:tc>
        <w:tc>
          <w:tcPr>
            <w:tcW w:w="98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108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72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53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10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</w:tr>
      <w:tr>
        <w:trPr>
          <w:trHeight w:val="542" w:hRule="atLeast"/>
        </w:trPr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17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19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21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22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23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24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26</w:t>
            </w:r>
          </w:p>
        </w:tc>
      </w:tr>
      <w:tr>
        <w:trPr>
          <w:trHeight w:val="232" w:hRule="atLeast"/>
        </w:trPr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cs="Times New Roman" w:ascii="Times New Roman" w:hAnsi="Times New Roman"/>
                <w:sz w:val="18"/>
                <w:szCs w:val="18"/>
              </w:rPr>
              <w:t>помещение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24:57:0000007:1144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кадастровый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площадь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29,9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кв. м.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нежилое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</w:tr>
      <w:tr>
        <w:trPr>
          <w:trHeight w:val="311" w:hRule="atLeast"/>
        </w:trPr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помещение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24:57:0100005:511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кадастровый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площадь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36,6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кв. м.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нежилое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</w:tr>
      <w:tr>
        <w:trPr>
          <w:trHeight w:val="349" w:hRule="atLeast"/>
        </w:trPr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помещение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24:27:0100005:510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кадастровый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площадь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32,7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кв. м.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нежилое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</w:tr>
      <w:tr>
        <w:trPr>
          <w:trHeight w:val="349" w:hRule="atLeast"/>
        </w:trPr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помещение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bCs/>
                <w:sz w:val="18"/>
                <w:szCs w:val="18"/>
              </w:rPr>
              <w:t>24:57:0000007:891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кадастровый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площадь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25,6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кв. м.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нежилое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</w:tr>
      <w:tr>
        <w:trPr>
          <w:trHeight w:val="672" w:hRule="atLeast"/>
        </w:trPr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помещение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bCs/>
                <w:sz w:val="18"/>
                <w:szCs w:val="18"/>
              </w:rPr>
              <w:t>24:57:0000007:686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кадастровый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площадь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35,8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кв. м.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нежилое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</w:tr>
      <w:tr>
        <w:trPr>
          <w:trHeight w:val="349" w:hRule="atLeast"/>
        </w:trPr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помещение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bCs/>
                <w:sz w:val="18"/>
                <w:szCs w:val="18"/>
              </w:rPr>
              <w:t>24:57:0000020:978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кадастровый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площадь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108,7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кв. м.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нежилое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</w:tr>
      <w:tr>
        <w:trPr>
          <w:trHeight w:val="349" w:hRule="atLeast"/>
        </w:trPr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помещение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bCs/>
                <w:sz w:val="18"/>
                <w:szCs w:val="18"/>
              </w:rPr>
              <w:t>24:57:0000005:2114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кадастровый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площадь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27,6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кв. м.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нежилое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712" w:leader="none"/>
                <w:tab w:val="left" w:pos="10067" w:leader="none"/>
              </w:tabs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</w:tr>
    </w:tbl>
    <w:p>
      <w:pPr>
        <w:sectPr>
          <w:type w:val="nextPage"/>
          <w:pgSz w:orient="landscape" w:w="16838" w:h="11906"/>
          <w:pgMar w:left="1134" w:right="1134" w:gutter="0" w:header="0" w:top="851" w:footer="0" w:bottom="850"/>
          <w:pgNumType w:fmt="decimal"/>
          <w:formProt w:val="false"/>
          <w:textDirection w:val="lrTb"/>
          <w:docGrid w:type="default" w:linePitch="360" w:charSpace="4096"/>
        </w:sectPr>
      </w:pPr>
    </w:p>
    <w:p>
      <w:pPr>
        <w:pStyle w:val="Normal"/>
        <w:spacing w:lineRule="auto" w:line="240" w:before="0"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Приложение №2</w:t>
      </w:r>
    </w:p>
    <w:p>
      <w:pPr>
        <w:pStyle w:val="Normal"/>
        <w:spacing w:lineRule="auto" w:line="240" w:before="0"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 инвестиционному паспорту</w:t>
      </w:r>
    </w:p>
    <w:p>
      <w:pPr>
        <w:pStyle w:val="Normal"/>
        <w:spacing w:lineRule="auto" w:line="240" w:before="0"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города Шарыпово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18"/>
          <w:szCs w:val="18"/>
        </w:rPr>
      </w:pPr>
      <w:r>
        <w:rPr>
          <w:rFonts w:cs="Times New Roman" w:ascii="Times New Roman" w:hAnsi="Times New Roman"/>
          <w:sz w:val="18"/>
          <w:szCs w:val="1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color w:val="000000"/>
          <w:sz w:val="18"/>
          <w:szCs w:val="18"/>
          <w:shd w:fill="FFFFFF" w:val="clear"/>
        </w:rPr>
      </w:pPr>
      <w:r>
        <w:rPr>
          <w:rFonts w:cs="Times New Roman" w:ascii="Times New Roman" w:hAnsi="Times New Roman"/>
          <w:color w:val="000000"/>
          <w:sz w:val="18"/>
          <w:szCs w:val="18"/>
          <w:shd w:fill="FFFFFF" w:val="clear"/>
        </w:rPr>
        <w:t>Реестр территорий (земельных участков), рекомендуемых для рассмотрения инвесторами в целях реализации новых инвестиционных проектов Красноярского края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color w:val="000000"/>
          <w:sz w:val="18"/>
          <w:szCs w:val="18"/>
          <w:shd w:fill="FFFFFF" w:val="clear"/>
        </w:rPr>
      </w:pPr>
      <w:r>
        <w:rPr>
          <w:rFonts w:cs="Times New Roman" w:ascii="Times New Roman" w:hAnsi="Times New Roman"/>
          <w:b/>
          <w:color w:val="000000"/>
          <w:sz w:val="18"/>
          <w:szCs w:val="18"/>
          <w:shd w:fill="FFFFFF" w:val="clear"/>
        </w:rPr>
      </w:r>
    </w:p>
    <w:tbl>
      <w:tblPr>
        <w:tblW w:w="5000" w:type="pct"/>
        <w:jc w:val="left"/>
        <w:tblInd w:w="-62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05"/>
        <w:gridCol w:w="1324"/>
        <w:gridCol w:w="1615"/>
        <w:gridCol w:w="1560"/>
        <w:gridCol w:w="1616"/>
        <w:gridCol w:w="594"/>
        <w:gridCol w:w="1168"/>
        <w:gridCol w:w="498"/>
        <w:gridCol w:w="425"/>
        <w:gridCol w:w="426"/>
        <w:gridCol w:w="425"/>
        <w:gridCol w:w="426"/>
        <w:gridCol w:w="1251"/>
        <w:gridCol w:w="1253"/>
        <w:gridCol w:w="1484"/>
      </w:tblGrid>
      <w:tr>
        <w:trPr>
          <w:trHeight w:val="1942" w:hRule="atLeast"/>
          <w:cantSplit w:val="true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№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Наименование территории (земельного участка)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Объект, местоположение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Назначение объекта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Кадастровый номер территории (земельного участка)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bCs/>
                <w:sz w:val="18"/>
                <w:szCs w:val="18"/>
              </w:rPr>
              <w:t>Площадь, Га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Параметры расположенных на территории (земельном участке) зданий и сооружений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extDirection w:val="btLr"/>
          </w:tcPr>
          <w:p>
            <w:pPr>
              <w:pStyle w:val="Normal"/>
              <w:spacing w:lineRule="auto" w:line="240" w:before="0" w:after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color w:val="000000"/>
                <w:sz w:val="18"/>
                <w:szCs w:val="18"/>
              </w:rPr>
              <w:t xml:space="preserve">Возможность </w:t>
            </w:r>
          </w:p>
          <w:p>
            <w:pPr>
              <w:pStyle w:val="Normal"/>
              <w:spacing w:lineRule="auto" w:line="240" w:before="0" w:after="0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color w:val="000000"/>
                <w:sz w:val="18"/>
                <w:szCs w:val="18"/>
              </w:rPr>
              <w:t>установки кран-балки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extDirection w:val="btLr"/>
          </w:tcPr>
          <w:p>
            <w:pPr>
              <w:pStyle w:val="Normal"/>
              <w:spacing w:lineRule="auto" w:line="240" w:before="0" w:after="0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color w:val="000000"/>
                <w:sz w:val="18"/>
                <w:szCs w:val="18"/>
              </w:rPr>
              <w:t>Теплоснабжение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extDirection w:val="btLr"/>
          </w:tcPr>
          <w:p>
            <w:pPr>
              <w:pStyle w:val="Normal"/>
              <w:spacing w:lineRule="auto" w:line="240" w:before="0" w:after="0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color w:val="000000"/>
                <w:sz w:val="18"/>
                <w:szCs w:val="18"/>
              </w:rPr>
              <w:t>Водоснабжение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extDirection w:val="btLr"/>
          </w:tcPr>
          <w:p>
            <w:pPr>
              <w:pStyle w:val="Normal"/>
              <w:spacing w:lineRule="auto" w:line="240" w:before="0" w:after="0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color w:val="000000"/>
                <w:sz w:val="18"/>
                <w:szCs w:val="18"/>
              </w:rPr>
              <w:t>Водоотведение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textDirection w:val="btLr"/>
          </w:tcPr>
          <w:p>
            <w:pPr>
              <w:pStyle w:val="Normal"/>
              <w:spacing w:lineRule="auto" w:line="240" w:before="0" w:after="0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color w:val="000000"/>
                <w:sz w:val="18"/>
                <w:szCs w:val="18"/>
              </w:rPr>
              <w:t>Электроэнергия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Стоимость аренды, тыс. руб./кв. м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Стоимость выкупа, тыс. руб./кв. м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Контакты собственника/представителя собственника (ФИО, телефон, электронный адрес, почтовый адрес)</w:t>
            </w:r>
          </w:p>
        </w:tc>
      </w:tr>
      <w:tr>
        <w:trPr/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городской округ город Шарыпово Красноярского края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Земельный участок, Красноярский край, г. Шарыпово,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ул. Северная, 17/1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Для использования в целях эксплуатации площадки по приему и переработке лома черных металлов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24:57:0000042:109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0,15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отсутствуют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+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+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На основании отчета независимого оценщика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На основании отчета независимого оценщика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Земли разграниченной госсобственности, представитель- орган местного самоуправления</w:t>
            </w:r>
          </w:p>
        </w:tc>
      </w:tr>
      <w:tr>
        <w:trPr/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городской округ город Шарыпово Красноярского края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Земельный участок, Красноярский край, г. Шарыпово, промбаза Ашпыл, ул. Механизаторов, соор.1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для размещения открытого склада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24:57:0000042:9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5,39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отсутствуют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+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+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На основании отчета независимого оценщика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На основании отчета независимого оценщика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Земли разграниченной госсобственности, представитель- орган местного самоуправления</w:t>
            </w:r>
          </w:p>
        </w:tc>
      </w:tr>
      <w:tr>
        <w:trPr/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городской округ город Шарыпово Красноярского края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Земельный участок, Красноярский край, г. Шарыпово, промбаза Ашпыл, ул. Дорожная, №8/14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обслуживание автотранспорта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24:57:0000042:620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0,11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отсутствуют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+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+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На основании отчета независимого оценщика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На основании отчета независимого оценщика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Земли разграниченной госсобственности, представитель- орган местного самоуправления</w:t>
            </w:r>
          </w:p>
        </w:tc>
      </w:tr>
      <w:tr>
        <w:trPr/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городской округ город Шарыпово Красноярского края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 xml:space="preserve">Земельный участок, Красноярский край, г. Шарыпово, промбаза Ашпыл, ул. Северная,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уч-к 11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строительная промышленность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24:57:0000042:985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0,08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отсутствуют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+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+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На основании отчета независимого оценщика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На основании отчета независимого оценщика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Земли разграниченной госсобственности, представитель- орган местного самоуправления</w:t>
            </w:r>
          </w:p>
        </w:tc>
      </w:tr>
      <w:tr>
        <w:trPr/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городской округ город Шарыпово Красноярского края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Земельный участок, Красноярский край, г. Шарыпово, промбаза Ашпыл, ул. Дорожная, №9/1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причалы для маломерных судов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24:57:0000042:614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0,15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отсутствуют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+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+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На основании отчета независимого оценщика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На основании отчета независимого оценщика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Земли разграниченной госсобственности, представитель- орган местного самоуправления</w:t>
            </w:r>
          </w:p>
        </w:tc>
      </w:tr>
      <w:tr>
        <w:trPr/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городской округ город Шарыпово Красноярского края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Земельный участок, Красноярский край, г. Шарыпово,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ул. Дорожная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для размещения отстойников -осветлителей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24:57:0000042:36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0,09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отсутствуют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+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+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На основании отчета независимого оценщика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На основании отчета независимого оценщика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Земли разграниченной госсобственности, представитель- орган местного самоуправления</w:t>
            </w:r>
          </w:p>
        </w:tc>
      </w:tr>
      <w:tr>
        <w:trPr/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городской округ город Шарыпово Красноярского края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Земельный участок, Красноярский край, г. Шарыпово,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ул. Береговая, №1А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для строительства производственной базы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24:57:0000042:124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0,26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отсутствуют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+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+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На основании отчета независимого оценщика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На основании отчета независимого оценщика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Земли разграниченной госсобственности, представитель- орган местного самоуправления</w:t>
            </w:r>
          </w:p>
        </w:tc>
      </w:tr>
      <w:tr>
        <w:trPr/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городской округ город Шарыпово Красноярского края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Земельный участок, Красноярский край, г. Шарыпово, промбаза Ашпыл, ул. Дорожная, с западной стороны нежилого здания №15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для строительства производственной базы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24:57:0000042:501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0,61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отсутствуют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+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+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На основании отчета независимого оценщика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На основании отчета независимого оценщика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Земли разграниченной госсобственности, представитель- орган местного самоуправления</w:t>
            </w:r>
          </w:p>
        </w:tc>
      </w:tr>
      <w:tr>
        <w:trPr/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городской округ город Шарыпово Красноярского края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Земельный участок, Красноярский край, г. Шарыпово,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ул. Дорожная, 11/3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для использования в целях эксплуатации временного сооружения- деревообрабатывающего цеха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24:57:0000042:101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0,15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отсутствуют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+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+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На основании отчета независимого оценщика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На основании отчета независимого оценщика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Земли разграниченной госсобственности, представитель- орган местного самоуправления</w:t>
            </w:r>
          </w:p>
        </w:tc>
      </w:tr>
      <w:tr>
        <w:trPr/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городской округ город Шарыпово Красноярского края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Земельный участок, Красноярский край, г. Шарыпово, промбаза Ашпыл, ул. Дорожная, №1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для строительства производственной базы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24:57:0000042:506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0,74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отсутствуют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+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+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На основании отчета независимого оценщика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На основании отчета независимого оценщика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Земли разграниченной госсобственности, представитель- орган местного самоуправления</w:t>
            </w:r>
          </w:p>
        </w:tc>
      </w:tr>
      <w:tr>
        <w:trPr/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городской округ город Шарыпово Красноярского края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Земельный участок, Красноярский край, г. Шарыпово,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ул. Северная 10/11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для строительства производственной базы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24:57:0000042:113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0,75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отсутствуют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+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+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На основании отчета независимого оценщика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На основании отчета независимого оценщика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Земли разграниченной госсобственности, представитель- орган местного самоуправления</w:t>
            </w:r>
          </w:p>
        </w:tc>
      </w:tr>
      <w:tr>
        <w:trPr/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городской округ город Шарыпово Красноярского края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Земельный участок, Красноярский край, г. Шарыпово,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ул. Северная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для строительства нежилого здания-склада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24:57:0000042:442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0,60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отсутствуют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+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+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На основании отчета независимого оценщика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На основании отчета независимого оценщика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Земли разграниченной госсобственности, представитель- орган местного самоуправления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cs="Times New Roman" w:ascii="Times New Roman" w:hAnsi="Times New Roman"/>
          <w:sz w:val="18"/>
          <w:szCs w:val="18"/>
        </w:rPr>
      </w:r>
    </w:p>
    <w:sectPr>
      <w:type w:val="nextPage"/>
      <w:pgSz w:orient="landscape" w:w="16838" w:h="11906"/>
      <w:pgMar w:left="1134" w:right="1134" w:gutter="0" w:header="0" w:top="851" w:footer="0" w:bottom="85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Arial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ahoma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uiPriority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onsPlusNormal" w:customStyle="1">
    <w:name w:val="ConsPlusNormal Знак"/>
    <w:link w:val="ConsPlusNormal1"/>
    <w:qFormat/>
    <w:locked/>
    <w:rsid w:val="004425f0"/>
    <w:rPr>
      <w:rFonts w:ascii="Arial" w:hAnsi="Arial" w:eastAsia="Times New Roman" w:cs="Arial"/>
      <w:sz w:val="20"/>
      <w:szCs w:val="20"/>
      <w:lang w:eastAsia="ru-RU"/>
    </w:rPr>
  </w:style>
  <w:style w:type="character" w:styleId="Hyperlink">
    <w:name w:val="Hyperlink"/>
    <w:basedOn w:val="DefaultParagraphFont"/>
    <w:uiPriority w:val="99"/>
    <w:unhideWhenUsed/>
    <w:rsid w:val="009806d3"/>
    <w:rPr>
      <w:color w:themeColor="hyperlink" w:val="0563C1"/>
      <w:u w:val="single"/>
    </w:rPr>
  </w:style>
  <w:style w:type="character" w:styleId="Style14" w:customStyle="1">
    <w:name w:val="Основной текст Знак"/>
    <w:basedOn w:val="DefaultParagraphFont"/>
    <w:uiPriority w:val="1"/>
    <w:qFormat/>
    <w:rsid w:val="005739ab"/>
    <w:rPr>
      <w:rFonts w:ascii="Times New Roman" w:hAnsi="Times New Roman" w:eastAsia="Times New Roman" w:cs="Times New Roman"/>
      <w:sz w:val="28"/>
      <w:szCs w:val="28"/>
    </w:rPr>
  </w:style>
  <w:style w:type="character" w:styleId="Style15" w:customStyle="1">
    <w:name w:val="Основной текст с отступом Знак"/>
    <w:basedOn w:val="DefaultParagraphFont"/>
    <w:qFormat/>
    <w:rsid w:val="00cf4914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Style16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link w:val="Style14"/>
    <w:uiPriority w:val="1"/>
    <w:qFormat/>
    <w:rsid w:val="005739ab"/>
    <w:pPr>
      <w:widowControl w:val="false"/>
      <w:spacing w:lineRule="auto" w:line="240" w:before="0" w:after="0"/>
      <w:ind w:left="272"/>
    </w:pPr>
    <w:rPr>
      <w:rFonts w:ascii="Times New Roman" w:hAnsi="Times New Roman" w:eastAsia="Times New Roman" w:cs="Times New Roman"/>
      <w:sz w:val="28"/>
      <w:szCs w:val="28"/>
    </w:rPr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7">
    <w:name w:val="Указатель"/>
    <w:basedOn w:val="Normal"/>
    <w:qFormat/>
    <w:pPr>
      <w:suppressLineNumbers/>
    </w:pPr>
    <w:rPr>
      <w:rFonts w:cs="Arial"/>
    </w:rPr>
  </w:style>
  <w:style w:type="paragraph" w:styleId="ConsPlusNormal1" w:customStyle="1">
    <w:name w:val="ConsPlusNormal"/>
    <w:link w:val="ConsPlusNormal"/>
    <w:qFormat/>
    <w:rsid w:val="004425f0"/>
    <w:pPr>
      <w:widowControl w:val="false"/>
      <w:bidi w:val="0"/>
      <w:spacing w:lineRule="auto" w:line="240" w:before="0" w:after="0"/>
      <w:ind w:firstLine="720"/>
      <w:jc w:val="left"/>
    </w:pPr>
    <w:rPr>
      <w:rFonts w:ascii="Arial" w:hAnsi="Arial" w:eastAsia="Times New Roman" w:cs="Arial"/>
      <w:color w:val="auto"/>
      <w:kern w:val="0"/>
      <w:sz w:val="20"/>
      <w:szCs w:val="20"/>
      <w:lang w:eastAsia="ru-RU" w:val="ru-RU" w:bidi="ar-SA"/>
    </w:rPr>
  </w:style>
  <w:style w:type="paragraph" w:styleId="Style18" w:customStyle="1">
    <w:name w:val="Мой стиль"/>
    <w:basedOn w:val="Normal"/>
    <w:qFormat/>
    <w:rsid w:val="0033141f"/>
    <w:pPr>
      <w:keepNext w:val="true"/>
      <w:spacing w:lineRule="auto" w:line="240" w:before="0" w:after="0"/>
      <w:ind w:firstLine="540" w:right="-6"/>
      <w:jc w:val="both"/>
    </w:pPr>
    <w:rPr>
      <w:rFonts w:ascii="Times New Roman" w:hAnsi="Times New Roman" w:eastAsia="Times New Roman" w:cs="Times New Roman"/>
      <w:sz w:val="28"/>
      <w:szCs w:val="28"/>
      <w:lang w:eastAsia="ru-RU"/>
    </w:rPr>
  </w:style>
  <w:style w:type="paragraph" w:styleId="BodyTextIndent">
    <w:name w:val="Body Text Indent"/>
    <w:basedOn w:val="Normal"/>
    <w:link w:val="Style15"/>
    <w:rsid w:val="00cf4914"/>
    <w:pPr>
      <w:spacing w:lineRule="auto" w:line="240" w:before="0" w:after="120"/>
      <w:ind w:left="283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Style19" w:customStyle="1">
    <w:name w:val="Знак"/>
    <w:basedOn w:val="Normal"/>
    <w:qFormat/>
    <w:rsid w:val="00e13d02"/>
    <w:pPr>
      <w:spacing w:lineRule="auto" w:line="240" w:beforeAutospacing="1" w:afterAutospacing="1"/>
    </w:pPr>
    <w:rPr>
      <w:rFonts w:ascii="Tahoma" w:hAnsi="Tahoma" w:eastAsia="Times New Roman" w:cs="Tahoma"/>
      <w:sz w:val="20"/>
      <w:szCs w:val="20"/>
      <w:lang w:val="en-U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39"/>
    <w:rsid w:val="00f201c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microsoft.com/office/2007/relationships/hdphoto" Target="media/hdphoto1.wdp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hyperlink" Target="http://krskinvest.ru/" TargetMode="External"/><Relationship Id="rId17" Type="http://schemas.openxmlformats.org/officeDocument/2006/relationships/hyperlink" Target="https://sharypovo-r04.gosweb.gosuslugi.ru/deyatelnost/napravleniya-deyatelnosti/ekonomika-i-predprinimatelstvo/shema-nestatsionarnyh-torgovyh-obektov-i-vremennyh-sooruzheniy/" TargetMode="External"/><Relationship Id="rId18" Type="http://schemas.openxmlformats.org/officeDocument/2006/relationships/hyperlink" Target="https://sharypovo-r04.gosweb.gosuslugi.ru/deyatelnost/mery-podderzhki/podderzhka-nalog-na-professionalnyy-dohod/" TargetMode="External"/><Relationship Id="rId19" Type="http://schemas.openxmlformats.org/officeDocument/2006/relationships/hyperlink" Target="https://sharypovo.gosuslugi.ru/" TargetMode="External"/><Relationship Id="rId20" Type="http://schemas.openxmlformats.org/officeDocument/2006/relationships/fontTable" Target="fontTable.xml"/><Relationship Id="rId21" Type="http://schemas.openxmlformats.org/officeDocument/2006/relationships/settings" Target="settings.xml"/><Relationship Id="rId2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725</TotalTime>
  <Application>LibreOffice/7.6.4.1$Windows_X86_64 LibreOffice_project/e19e193f88cd6c0525a17fb7a176ed8e6a3e2aa1</Application>
  <AppVersion>15.0000</AppVersion>
  <Pages>27</Pages>
  <Words>5876</Words>
  <Characters>42351</Characters>
  <CharactersWithSpaces>47684</CharactersWithSpaces>
  <Paragraphs>657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2024-05-22T07:25:00Z</dcterms:created>
  <dc:creator>rev</dc:creator>
  <dc:description/>
  <dc:language>ru-RU</dc:language>
  <cp:lastModifiedBy>rev</cp:lastModifiedBy>
  <dcterms:modified xsi:type="dcterms:W3CDTF">2024-05-29T06:05:00Z</dcterms:modified>
  <cp:revision>46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