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firstLine="709" w:left="0" w:right="0"/>
        <w:jc w:val="center"/>
        <w:rPr>
          <w:rFonts w:ascii="Times New Roman" w:hAnsi="Times New Roman"/>
          <w:sz w:val="20"/>
          <w:szCs w:val="20"/>
        </w:rPr>
      </w:pPr>
      <w:r>
        <w:rPr>
          <w:rFonts w:ascii="Times New Roman" w:hAnsi="Times New Roman"/>
          <w:b/>
          <w:bCs/>
          <w:sz w:val="28"/>
          <w:szCs w:val="28"/>
        </w:rPr>
        <w:t>Пояснительная записка к докладу Главы города Шарыпово</w:t>
      </w:r>
    </w:p>
    <w:p>
      <w:pPr>
        <w:pStyle w:val="Normal"/>
        <w:bidi w:val="0"/>
        <w:spacing w:before="0" w:after="0"/>
        <w:ind w:firstLine="709" w:left="0" w:right="0"/>
        <w:jc w:val="center"/>
        <w:rPr>
          <w:rFonts w:ascii="Times New Roman" w:hAnsi="Times New Roman"/>
          <w:b/>
          <w:bCs/>
          <w:sz w:val="28"/>
          <w:szCs w:val="28"/>
        </w:rPr>
      </w:pPr>
      <w:r>
        <w:rPr>
          <w:rFonts w:ascii="Times New Roman" w:hAnsi="Times New Roman"/>
          <w:b/>
          <w:bCs/>
          <w:sz w:val="28"/>
          <w:szCs w:val="28"/>
        </w:rPr>
        <w:t>о достигнутых значениях показателей для оценки эффективности деятельности органов местного самоуправления городского округа</w:t>
      </w:r>
    </w:p>
    <w:p>
      <w:pPr>
        <w:pStyle w:val="Normal"/>
        <w:bidi w:val="0"/>
        <w:spacing w:before="0" w:after="0"/>
        <w:ind w:firstLine="709" w:left="0" w:right="0"/>
        <w:jc w:val="center"/>
        <w:rPr>
          <w:rFonts w:ascii="Times New Roman" w:hAnsi="Times New Roman"/>
          <w:b/>
          <w:bCs/>
          <w:sz w:val="28"/>
          <w:szCs w:val="28"/>
        </w:rPr>
      </w:pPr>
      <w:r>
        <w:rPr>
          <w:rFonts w:ascii="Times New Roman" w:hAnsi="Times New Roman"/>
          <w:b/>
          <w:bCs/>
          <w:sz w:val="28"/>
          <w:szCs w:val="28"/>
        </w:rPr>
        <w:t>за 2023 год и их планируемых значениях на 3-летний период</w:t>
      </w:r>
    </w:p>
    <w:p>
      <w:pPr>
        <w:pStyle w:val="Normal"/>
        <w:bidi w:val="0"/>
        <w:spacing w:before="0" w:after="0"/>
        <w:ind w:firstLine="709" w:left="0" w:right="0"/>
        <w:jc w:val="center"/>
        <w:rPr>
          <w:rFonts w:ascii="Times New Roman" w:hAnsi="Times New Roman"/>
          <w:b/>
          <w:bCs/>
          <w:sz w:val="28"/>
          <w:szCs w:val="28"/>
        </w:rPr>
      </w:pPr>
      <w:r>
        <w:rPr>
          <w:rFonts w:ascii="Times New Roman" w:hAnsi="Times New Roman"/>
          <w:b/>
          <w:bCs/>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I. Экономическое развитие</w:t>
      </w:r>
    </w:p>
    <w:p>
      <w:pPr>
        <w:pStyle w:val="Normal"/>
        <w:widowControl w:val="false"/>
        <w:bidi w:val="0"/>
        <w:spacing w:before="0" w:after="0"/>
        <w:ind w:firstLine="709" w:left="0" w:right="0"/>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Городской округ город Шарыпово в состав которого входят городские населенные пункты: город Шарыпово, городской поселок Горячегорск, городской поселок Дубинино, наделен Законом Красноярского края от 25.02.2005 года №13-3131 «О наделении муниципального образования город Шарыпово статусом городского округа» статусом муниципального образования в границах, установленных Законом края от 21 октября 1997 года №15-587 «Об утверждении границ г. Шарыпово Красноярского края».</w:t>
      </w:r>
    </w:p>
    <w:p>
      <w:pPr>
        <w:pStyle w:val="Normal"/>
        <w:widowControl w:val="false"/>
        <w:bidi w:val="0"/>
        <w:spacing w:before="0" w:after="0"/>
        <w:ind w:firstLine="709" w:left="0" w:right="0"/>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Расчет и планирование показателей произведено на основе методических рекомендаций по подготовке Доклада, направленных министерством экономики и регионального развития Красноярского края.</w:t>
      </w:r>
    </w:p>
    <w:p>
      <w:pPr>
        <w:pStyle w:val="Normal"/>
        <w:widowControl w:val="false"/>
        <w:bidi w:val="0"/>
        <w:spacing w:before="0" w:after="0"/>
        <w:ind w:firstLine="709" w:left="0" w:right="0"/>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(далее – Красноярскстат). При расчетах учтены индексы потребительских цен: 2024 год – 107,1%, 2025 год – 104,1 %, 2026 год – 104,0 %.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 Число субъектов малого и среднего предпринимательства,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По данным Единого государственного реестра субъектов малого и среднего предпринимательства по состоянию на 01.01.2024 г., на территории городского округа осуществляли деятельность 1274 субъекта малого предпринимательства (темп роста к 2022 году – 101,4%), в том числе 985 индивидуальных предпринимателей, 287 малых и микропредприятий, и 2 средних предприятия.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структуре хозяйствующих субъектов малого бизнеса доминируют предприятия оптовой и розничной торговли, на которые приходится 39,5%; 11,4% - строительство; 5,3% - обрабатывающие производства; 15,9% - предоставление прочих коммунальных, социальных и персональных услуг; 8,4% - транспорт и связь; 4,4% -гостиницы и рестораны; 1,8% - здравоохранение.</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Всего в малый бизнес в 2023 году вовлечено более 3,74 тыс. человек или 43,6% от общего числа занятых в экономике города, что на 1,7% больше, чем 2022 году. Число субъектов малого и среднего предпринимательства в расчете на 10 тыс. человек населения составило 312,72 ед., темп роста к 2022 году составил 102,1%.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Несмотря на снижение численности населения, наблюдается увеличение количества субъектов малого предпринимательства. Это обусловлено отсутствием на территории городского округа промышленных предприятий.    Рост числа индивидуальных предпринимателей по сравнению с юридическими лицами во многом обусловлен возможностью применения индивидуальными предпринимателями упрощенных форм ведения бухгалтерского учета и налоговой отчетности.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В результате реализации мероприятий программы в 2023 году предоставлена финансовая поддержка 9 хозяйствующим субъектам: сохранено 35 рабочих мест, сумма финансирования программных мероприятий составила 2,35 млн. рублей, всего привлечено инвестиций в экономику – 6,2 млн. рублей.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Особое значение Администрация города Шарыпово уделяет вопросам консультационной поддержки малого и среднего предпринимательства. На официальном сайте Администрации города в разделе «Меры поддержки» создан подраздел «Поддержка МСП и физлиц, применяющих налог на профессиональный доход», в котором размещена и регулярно обновляется информация о различных видах и способах финансовой поддержки субъектов малого и среднего предпринимательства и т.д.</w:t>
      </w:r>
    </w:p>
    <w:tbl>
      <w:tblPr>
        <w:tblW w:w="9620" w:type="dxa"/>
        <w:jc w:val="left"/>
        <w:tblInd w:w="113" w:type="dxa"/>
        <w:tblLayout w:type="fixed"/>
        <w:tblCellMar>
          <w:top w:w="0" w:type="dxa"/>
          <w:left w:w="108" w:type="dxa"/>
          <w:bottom w:w="0" w:type="dxa"/>
          <w:right w:w="108" w:type="dxa"/>
        </w:tblCellMar>
      </w:tblPr>
      <w:tblGrid>
        <w:gridCol w:w="4819"/>
        <w:gridCol w:w="960"/>
        <w:gridCol w:w="960"/>
        <w:gridCol w:w="960"/>
        <w:gridCol w:w="960"/>
        <w:gridCol w:w="960"/>
      </w:tblGrid>
      <w:tr>
        <w:trPr>
          <w:trHeight w:val="300" w:hRule="atLeast"/>
        </w:trPr>
        <w:tc>
          <w:tcPr>
            <w:tcW w:w="48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Наименование показателя и единицы измерения</w:t>
            </w:r>
          </w:p>
        </w:tc>
        <w:tc>
          <w:tcPr>
            <w:tcW w:w="4800"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Значения показателя</w:t>
            </w:r>
          </w:p>
        </w:tc>
      </w:tr>
      <w:tr>
        <w:trPr>
          <w:trHeight w:val="600" w:hRule="atLeast"/>
        </w:trPr>
        <w:tc>
          <w:tcPr>
            <w:tcW w:w="48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2022 факт</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2023 факт</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2024 оценка</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2025 прогноз</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2026 прогноз</w:t>
            </w:r>
          </w:p>
        </w:tc>
      </w:tr>
      <w:tr>
        <w:trPr>
          <w:trHeight w:val="3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1. Количество малых и микропредприятий, ед.</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275</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287</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292</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295</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298</w:t>
            </w:r>
          </w:p>
        </w:tc>
      </w:tr>
      <w:tr>
        <w:trPr>
          <w:trHeight w:val="3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left"/>
              <w:rPr/>
            </w:pPr>
            <w:r>
              <w:rPr>
                <w:rFonts w:cs="Times New Roman CYR" w:ascii="Times New Roman CYR" w:hAnsi="Times New Roman CYR"/>
                <w:color w:val="000000"/>
                <w:kern w:val="0"/>
              </w:rPr>
              <w:t>2. Количество средних предприятий, ед.</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2</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2</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2</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2</w:t>
            </w:r>
          </w:p>
        </w:tc>
      </w:tr>
      <w:tr>
        <w:trPr>
          <w:trHeight w:val="3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left"/>
              <w:rPr/>
            </w:pPr>
            <w:r>
              <w:rPr>
                <w:rFonts w:cs="Times New Roman CYR" w:ascii="Times New Roman CYR" w:hAnsi="Times New Roman CYR"/>
                <w:color w:val="000000"/>
                <w:kern w:val="0"/>
              </w:rPr>
              <w:t>3. Количество индивидуальных предпринимателей, ед.</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981</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985</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998</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1 012</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1 016</w:t>
            </w:r>
          </w:p>
        </w:tc>
      </w:tr>
      <w:tr>
        <w:trPr>
          <w:trHeight w:val="3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left"/>
              <w:rPr/>
            </w:pPr>
            <w:r>
              <w:rPr>
                <w:rFonts w:cs="Times New Roman CYR" w:ascii="Times New Roman CYR" w:hAnsi="Times New Roman CYR"/>
                <w:color w:val="000000"/>
                <w:kern w:val="0"/>
              </w:rPr>
              <w:t>3.1. в том числе количество крестьянско-фермерских хозяйств, ед.</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2</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0</w:t>
            </w:r>
          </w:p>
        </w:tc>
      </w:tr>
      <w:tr>
        <w:trPr>
          <w:trHeight w:val="6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 xml:space="preserve">4. Численность постоянного населения муниципального, городского округа </w:t>
            </w:r>
            <w:r>
              <w:rPr>
                <w:rFonts w:cs="Times New Roman CYR" w:ascii="Times New Roman CYR" w:hAnsi="Times New Roman CYR"/>
                <w:b/>
                <w:bCs/>
                <w:color w:val="C00000"/>
                <w:kern w:val="0"/>
              </w:rPr>
              <w:t>на</w:t>
            </w:r>
            <w:r>
              <w:rPr>
                <w:rFonts w:cs="Times New Roman CYR" w:ascii="Times New Roman CYR" w:hAnsi="Times New Roman CYR"/>
                <w:color w:val="000000"/>
                <w:kern w:val="0"/>
              </w:rPr>
              <w:t xml:space="preserve"> </w:t>
            </w:r>
            <w:r>
              <w:rPr>
                <w:rFonts w:cs="Times New Roman CYR" w:ascii="Times New Roman CYR" w:hAnsi="Times New Roman CYR"/>
                <w:b/>
                <w:bCs/>
                <w:color w:val="C00000"/>
                <w:kern w:val="0"/>
              </w:rPr>
              <w:t>конец отчетного года</w:t>
            </w:r>
            <w:r>
              <w:rPr>
                <w:rFonts w:cs="Times New Roman CYR" w:ascii="Times New Roman CYR" w:hAnsi="Times New Roman CYR"/>
                <w:color w:val="000000"/>
                <w:kern w:val="0"/>
              </w:rPr>
              <w:t>, чел.</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41 024</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40 739</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40 375</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40 006</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39 566</w:t>
            </w:r>
          </w:p>
        </w:tc>
      </w:tr>
      <w:tr>
        <w:trPr>
          <w:trHeight w:val="273"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b/>
                <w:bCs/>
                <w:color w:val="000000"/>
                <w:kern w:val="0"/>
              </w:rPr>
              <w:t>5. Число субъектов малого и среднего предпринимательства, ед. на 10 000 чел. ((стр.1+стр.2+стр.3)/стр.4*10 000)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306,41</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312,72</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320,00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327,20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332,61</w:t>
            </w:r>
          </w:p>
        </w:tc>
      </w:tr>
      <w:tr>
        <w:trPr>
          <w:trHeight w:val="6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6. Среднесписочная численность работников малых и микропредприятий, чел.</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1 700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1 715</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1 760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1 780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1 798</w:t>
            </w:r>
          </w:p>
        </w:tc>
      </w:tr>
      <w:tr>
        <w:trPr>
          <w:trHeight w:val="6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left"/>
              <w:rPr/>
            </w:pPr>
            <w:r>
              <w:rPr>
                <w:rFonts w:cs="Times New Roman CYR" w:ascii="Times New Roman CYR" w:hAnsi="Times New Roman CYR"/>
                <w:color w:val="000000"/>
                <w:kern w:val="0"/>
              </w:rPr>
              <w:t>7. Среднесписочная численность работников у индивидуальных предпринимателей (наемных работников), чел.</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1 760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1 780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1 799</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1 820</w:t>
            </w:r>
          </w:p>
        </w:tc>
        <w:tc>
          <w:tcPr>
            <w:tcW w:w="960" w:type="dxa"/>
            <w:tcBorders>
              <w:bottom w:val="single" w:sz="4" w:space="0" w:color="000000"/>
              <w:right w:val="single" w:sz="4" w:space="0" w:color="000000"/>
            </w:tcBorders>
            <w:vAlign w:val="center"/>
          </w:tcPr>
          <w:p>
            <w:pPr>
              <w:pStyle w:val="Normal"/>
              <w:widowControl w:val="false"/>
              <w:bidi w:val="0"/>
              <w:spacing w:before="0" w:after="0"/>
              <w:ind w:hanging="0" w:left="0" w:right="0"/>
              <w:jc w:val="center"/>
              <w:rPr/>
            </w:pPr>
            <w:r>
              <w:rPr>
                <w:rFonts w:cs="Times New Roman CYR" w:ascii="Times New Roman CYR" w:hAnsi="Times New Roman CYR"/>
                <w:color w:val="000000"/>
                <w:kern w:val="0"/>
              </w:rPr>
              <w:t>1 835</w:t>
            </w:r>
          </w:p>
        </w:tc>
      </w:tr>
      <w:tr>
        <w:trPr>
          <w:trHeight w:val="3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7.1. в том числе в крестьянско-фермерских хозяйствах, чел.</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0</w:t>
            </w:r>
          </w:p>
        </w:tc>
      </w:tr>
      <w:tr>
        <w:trPr>
          <w:trHeight w:val="600"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8. Среднесписочная численность работников средних предприятий, чел.</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151</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244</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247</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250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252</w:t>
            </w:r>
          </w:p>
        </w:tc>
      </w:tr>
      <w:tr>
        <w:trPr>
          <w:trHeight w:val="912"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6 460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6 347</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6 360</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6 363</w:t>
            </w:r>
          </w:p>
        </w:tc>
        <w:tc>
          <w:tcPr>
            <w:tcW w:w="9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6 370</w:t>
            </w:r>
          </w:p>
        </w:tc>
      </w:tr>
      <w:tr>
        <w:trPr>
          <w:trHeight w:val="1425" w:hRule="atLeast"/>
        </w:trPr>
        <w:tc>
          <w:tcPr>
            <w:tcW w:w="4819"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b/>
                <w:bCs/>
                <w:color w:val="000000"/>
                <w:kern w:val="0"/>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 *100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42,12</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43,63</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44,00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44,30</w:t>
            </w:r>
          </w:p>
        </w:tc>
        <w:tc>
          <w:tcPr>
            <w:tcW w:w="9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44,48</w:t>
            </w:r>
          </w:p>
        </w:tc>
      </w:tr>
    </w:tbl>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 Объем инвестиций в основной капитал (за исключением бюджетных средств) в расчете на 1 человека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Инвестиции в основной капитал организациями городского округа (не относящимися к субъектам малого предпринимательства, включая организации, средняя численность работников которых не превышает 15 человек) за 2023 год составили 2 703 010,0 тыс. рублей. Рост инвестиций в основной капитал по </w:t>
      </w:r>
      <w:r>
        <w:rPr>
          <w:rFonts w:cs="Times New Roman CYR" w:ascii="Times New Roman CYR" w:hAnsi="Times New Roman CYR"/>
          <w:color w:val="000000"/>
          <w:kern w:val="0"/>
          <w:sz w:val="28"/>
          <w:szCs w:val="28"/>
        </w:rPr>
        <w:t>отношению к соответствующему периоду предыдущего года в сопоставимых ценах в 1,9 раза. В разрезе инвестиций в основной капитал за счет всех источников финансирования (без субъектов малого предпринимательства и параметров неформальной</w:t>
      </w:r>
      <w:r>
        <w:rPr>
          <w:rFonts w:cs="Times New Roman CYR" w:ascii="Times New Roman CYR" w:hAnsi="Times New Roman CYR"/>
          <w:kern w:val="0"/>
          <w:sz w:val="28"/>
          <w:szCs w:val="28"/>
        </w:rPr>
        <w:t xml:space="preserve"> деятельности) основными источниками финансирования капитальных вложений в отчетном году являлись собственные средства – 1 310 010 тыс. рублей, привлеченные средства – 1 392 228 тыс. рублей (в т.ч. за счет бюджетных средств – 550 070 тыс. рублей).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отмечен в следующих видах экономической деятельности: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 «Платные услуги населению» с 1 160 633 тыс. рублей до 2 569 551 тыс. рублей (189,48% в сопоставимых ценах к 2022 году).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Транспортной компанией приобретен подвижной состав для перевозок грузов.</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«Образование» с 30 057,0 тыс. рублей до 211 511,0 тыс. рублей (602,28% в сопоставимых ценах к 2022 году). Выполнен капитальный ремонт оконных и дверных блоков в трех дошкольных учреждениях, капитальный ремонт эвакуационных выходов в учреждении дополнительного образования, приобретено оборудование, мебель.</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«Деятельность в области культуры, спорта, организации досуга и развлечений» с 20 090,0 тыс. рублей до 89 064,0 тыс. рублей (379,43% в сопоставимых ценах к 2022 году).    Из краевого бюджета по государственной программе Красноярского края «Развитие физической культуры и спорта» на конкурсной основе выделены субсидии в сумме – 16 259,8 тыс. рублей:</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установлена комплексная площадка для подвижных игр в мкр.7;</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обустроена площадка для игры в баскетбол на стадионе «Энергия»;</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приобретен спортивный инвентарь и оборудование для спортивных клубов по месту жительства «Темп» и «Энергия»;</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обустроена площадка для проведения тестирования населения ВФСК ГТО на стадионе «Энергия»;</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приобретена экипировка и инвентарь индивидуального пользования для отделений спортивных школ, осуществляющих спортивную подготовку в соответствии с требованиями федеральных стандартов спортивной подготовки (ФССП).</w:t>
      </w:r>
    </w:p>
    <w:p>
      <w:pPr>
        <w:pStyle w:val="Normal"/>
        <w:widowControl w:val="false"/>
        <w:tabs>
          <w:tab w:val="clear" w:pos="720"/>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«Деятельность в области здравоохранения» с 191 369 тыс. рублей до 237 598 тыс. рублей (106,26% в сопоставимых ценах к 2022году.). В целях обеспечения доступной качественной медицинской помощи продолжилось развитие материально-технической базы КГБУЗ "Шарыповская ЦРБ": получены автомобили скорой медицинской помощи, приобретено медицинское оборудование: аппарат рентгеновский, маммограф, так же были выделены бюджетные ассигнования на оснащение родильного дома медицинской аппаратурой.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Сокращение инвестиций в 2023 году по отношению к соответствующему периоду 2022 года произошло по видам экономической деятельности: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 «Жилищно-коммунальное хозяйство» снижение с 56 026,0 тыс. рублей до 55 819,0 тыс. рублей (85,27% в сопоставимых ценах к 2022 году); 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«Деятельность профессиональная, научная и техническая» снижение с 3 809,0 тыс. рублей до 3 072,0 тыс. рублей (69,02% в сопоставимых ценах к 2022 году).</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отчетном году объем инвестиций в основной капитал (за исключением бюджетных средств) в расчете на 1 человека увеличился к уровню 2022 года в 2,1 раза в действующих ценах и составил 52 663,60 рублей.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2023 году были разработаны и запущены взаимосвязанные проекты, направленные на формирование уникального образа города Шарыпово, культурного бренда территории, связанного с палеонтологической тематикой. </w:t>
      </w:r>
    </w:p>
    <w:p>
      <w:pPr>
        <w:pStyle w:val="Normal"/>
        <w:widowControl w:val="false"/>
        <w:bidi w:val="0"/>
        <w:spacing w:before="0" w:after="0"/>
        <w:ind w:firstLine="709" w:left="0" w:right="0"/>
        <w:jc w:val="both"/>
        <w:rPr>
          <w:rFonts w:ascii="Times New Roman CYR" w:hAnsi="Times New Roman CYR" w:cs="Times New Roman CYR"/>
          <w:sz w:val="28"/>
          <w:szCs w:val="28"/>
        </w:rPr>
      </w:pPr>
      <w:r>
        <w:rPr>
          <w:rFonts w:cs="Times New Roman CYR" w:ascii="Times New Roman CYR" w:hAnsi="Times New Roman CYR"/>
          <w:kern w:val="0"/>
          <w:sz w:val="28"/>
          <w:szCs w:val="28"/>
        </w:rPr>
        <w:t xml:space="preserve">В рамках проекта «Шарыпово юрского периода» создается целая система объектов, посвященная палеонтологической тематике, а также уникальный Динопарк, аналогов которому в Красноярском крае еще не было. Основной локацией Динопарка планируется аллея со скульптурами динозавров, выполненных в натуральную величину. </w:t>
      </w:r>
      <w:r>
        <w:rPr>
          <w:rFonts w:cs="Times New Roman CYR" w:ascii="Times New Roman CYR" w:hAnsi="Times New Roman CYR"/>
          <w:sz w:val="28"/>
          <w:szCs w:val="28"/>
        </w:rPr>
        <w:t xml:space="preserve">В 2024 - 2025 годах планируется продолжить создание Динопарка с обустройством аллей, натуральных и тактильных динозавров, тематических детских игровых зон и зон отдыха.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сентябре 2023 года принято решение, и выделено финансирование на строительство быстровозводимого модульного молодежного центра в городе Шарыпово на сумму 100 000,0 тыс. рублей (Закон Красноярского края от 07.12.2023 N 6-2296 "О краевом бюджете на 2024 год и плановый период 2025 - 2026 годов"). Ввод в эксплуатацию центра планируется в 2025 году.</w:t>
      </w:r>
    </w:p>
    <w:p>
      <w:pPr>
        <w:pStyle w:val="Normal"/>
        <w:widowControl w:val="false"/>
        <w:bidi w:val="0"/>
        <w:spacing w:before="0" w:after="0"/>
        <w:ind w:firstLine="709" w:left="0" w:right="0"/>
        <w:jc w:val="both"/>
        <w:rPr>
          <w:rFonts w:ascii="Times New Roman CYR" w:hAnsi="Times New Roman CYR" w:cs="Times New Roman CYR"/>
          <w:spacing w:val="-3"/>
          <w:kern w:val="0"/>
          <w:sz w:val="28"/>
          <w:szCs w:val="28"/>
        </w:rPr>
      </w:pPr>
      <w:r>
        <w:rPr>
          <w:rFonts w:cs="Times New Roman CYR" w:ascii="Times New Roman CYR" w:hAnsi="Times New Roman CYR"/>
          <w:kern w:val="0"/>
          <w:sz w:val="28"/>
          <w:szCs w:val="28"/>
        </w:rPr>
        <w:t xml:space="preserve">В текущем году в городе Шарыпово продолжается строительство плавательного бассейна. </w:t>
      </w:r>
      <w:r>
        <w:rPr>
          <w:rFonts w:cs="Times New Roman CYR" w:ascii="Times New Roman CYR" w:hAnsi="Times New Roman CYR"/>
          <w:color w:val="000000"/>
          <w:spacing w:val="-3"/>
          <w:kern w:val="0"/>
          <w:sz w:val="28"/>
          <w:szCs w:val="28"/>
        </w:rPr>
        <w:t xml:space="preserve">В 2024 году ожидается снижение совокупного объема инвестиций, что приведет к снижению объема инвестиций в основной капитал (за исключением бюджетных средств) в расчете на 1 человека населения </w:t>
      </w:r>
      <w:r>
        <w:rPr>
          <w:rFonts w:cs="Times New Roman CYR" w:ascii="Times New Roman CYR" w:hAnsi="Times New Roman CYR"/>
          <w:spacing w:val="-3"/>
          <w:kern w:val="0"/>
          <w:sz w:val="28"/>
          <w:szCs w:val="28"/>
        </w:rPr>
        <w:t xml:space="preserve">до 5 807,58 рублей.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территории городского округа города Шарыпово инвестиционные проекты не реализуются.</w:t>
      </w:r>
    </w:p>
    <w:p>
      <w:pPr>
        <w:pStyle w:val="Normal"/>
        <w:widowControl w:val="false"/>
        <w:bidi w:val="0"/>
        <w:spacing w:before="0" w:after="0"/>
        <w:ind w:firstLine="709" w:left="0" w:right="0"/>
        <w:jc w:val="center"/>
        <w:rPr>
          <w:rFonts w:ascii="Times New Roman CYR" w:hAnsi="Times New Roman CYR" w:cs="Times New Roman CYR"/>
          <w:kern w:val="0"/>
          <w:sz w:val="28"/>
          <w:szCs w:val="28"/>
        </w:rPr>
      </w:pPr>
      <w:r>
        <w:rPr>
          <w:rFonts w:cs="Times New Roman CYR" w:ascii="Times New Roman CYR" w:hAnsi="Times New Roman CYR"/>
          <w:b/>
          <w:bCs/>
          <w:kern w:val="0"/>
          <w:sz w:val="28"/>
          <w:szCs w:val="28"/>
        </w:rPr>
        <w:t>Объем инвестиций</w:t>
      </w:r>
      <w:r>
        <w:rPr>
          <w:rFonts w:cs="Times New Roman CYR" w:ascii="Times New Roman CYR" w:hAnsi="Times New Roman CYR"/>
          <w:kern w:val="0"/>
          <w:sz w:val="28"/>
          <w:szCs w:val="28"/>
        </w:rPr>
        <w:br/>
        <w:t>в основной капитал в абсолютных значениях, темпы роста в действующих</w:t>
        <w:br/>
        <w:t>и сопоставимых ценах за 2022-2023 гг., а также планируемые значения</w:t>
        <w:br/>
        <w:t>на период 2024-2026 гг.</w:t>
      </w:r>
    </w:p>
    <w:tbl>
      <w:tblPr>
        <w:tblW w:w="9760" w:type="dxa"/>
        <w:jc w:val="left"/>
        <w:tblInd w:w="118" w:type="dxa"/>
        <w:tblLayout w:type="fixed"/>
        <w:tblCellMar>
          <w:top w:w="0" w:type="dxa"/>
          <w:left w:w="108" w:type="dxa"/>
          <w:bottom w:w="0" w:type="dxa"/>
          <w:right w:w="108" w:type="dxa"/>
        </w:tblCellMar>
      </w:tblPr>
      <w:tblGrid>
        <w:gridCol w:w="1394"/>
        <w:gridCol w:w="1394"/>
        <w:gridCol w:w="750"/>
        <w:gridCol w:w="644"/>
        <w:gridCol w:w="632"/>
        <w:gridCol w:w="763"/>
        <w:gridCol w:w="514"/>
        <w:gridCol w:w="880"/>
        <w:gridCol w:w="394"/>
        <w:gridCol w:w="1241"/>
        <w:gridCol w:w="1145"/>
        <w:gridCol w:w="8"/>
      </w:tblGrid>
      <w:tr>
        <w:trPr>
          <w:trHeight w:val="289" w:hRule="atLeast"/>
        </w:trPr>
        <w:tc>
          <w:tcPr>
            <w:tcW w:w="3538"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Наименование показателя и единицы измерения</w:t>
            </w:r>
          </w:p>
        </w:tc>
        <w:tc>
          <w:tcPr>
            <w:tcW w:w="6221" w:type="dxa"/>
            <w:gridSpan w:val="9"/>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Значения показателя</w:t>
            </w:r>
          </w:p>
        </w:tc>
      </w:tr>
      <w:tr>
        <w:trPr>
          <w:trHeight w:val="600" w:hRule="atLeast"/>
        </w:trPr>
        <w:tc>
          <w:tcPr>
            <w:tcW w:w="3538"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both"/>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276"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2022 факт</w:t>
            </w:r>
          </w:p>
        </w:tc>
        <w:tc>
          <w:tcPr>
            <w:tcW w:w="1277"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2023 факт</w:t>
            </w:r>
          </w:p>
        </w:tc>
        <w:tc>
          <w:tcPr>
            <w:tcW w:w="127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2024 прогноз</w:t>
            </w:r>
          </w:p>
        </w:tc>
        <w:tc>
          <w:tcPr>
            <w:tcW w:w="1241"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2025 прогноз</w:t>
            </w:r>
          </w:p>
        </w:tc>
        <w:tc>
          <w:tcPr>
            <w:tcW w:w="114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2026 прогноз</w:t>
            </w:r>
          </w:p>
        </w:tc>
        <w:tc>
          <w:tcPr>
            <w:tcW w:w="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1035"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1. Объем инвестиций в основной капитал за счет всех источников финансирования (без субъектов малого предпринимательства), тыс. руб.</w:t>
            </w:r>
          </w:p>
        </w:tc>
        <w:tc>
          <w:tcPr>
            <w:tcW w:w="1276"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1273852,0</w:t>
            </w:r>
          </w:p>
        </w:tc>
        <w:tc>
          <w:tcPr>
            <w:tcW w:w="1277"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2703010,0</w:t>
            </w:r>
          </w:p>
        </w:tc>
        <w:tc>
          <w:tcPr>
            <w:tcW w:w="127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446485,0</w:t>
            </w:r>
          </w:p>
        </w:tc>
        <w:tc>
          <w:tcPr>
            <w:tcW w:w="1241"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471042,0</w:t>
            </w:r>
          </w:p>
        </w:tc>
        <w:tc>
          <w:tcPr>
            <w:tcW w:w="114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496007,0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555"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i/>
                <w:iCs/>
                <w:color w:val="000000"/>
                <w:kern w:val="0"/>
              </w:rPr>
              <w:t xml:space="preserve">1.1. </w:t>
            </w:r>
            <w:r>
              <w:rPr>
                <w:rFonts w:cs="Times New Roman CYR" w:ascii="Times New Roman CYR" w:hAnsi="Times New Roman CYR"/>
                <w:i/>
                <w:iCs/>
                <w:color w:val="000000"/>
                <w:kern w:val="0"/>
                <w:sz w:val="20"/>
                <w:szCs w:val="20"/>
              </w:rPr>
              <w:t>Темп роста в действующих ценах, к соответствующему периоду предыдущего года, %</w:t>
            </w:r>
          </w:p>
        </w:tc>
        <w:tc>
          <w:tcPr>
            <w:tcW w:w="1276"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437,06</w:t>
            </w:r>
          </w:p>
        </w:tc>
        <w:tc>
          <w:tcPr>
            <w:tcW w:w="1277"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212,19</w:t>
            </w:r>
          </w:p>
        </w:tc>
        <w:tc>
          <w:tcPr>
            <w:tcW w:w="127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16,52</w:t>
            </w:r>
          </w:p>
        </w:tc>
        <w:tc>
          <w:tcPr>
            <w:tcW w:w="1241"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105,50</w:t>
            </w:r>
          </w:p>
        </w:tc>
        <w:tc>
          <w:tcPr>
            <w:tcW w:w="1145"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105,30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i/>
                <w:i/>
                <w:iCs/>
                <w:color w:val="000000"/>
                <w:kern w:val="0"/>
              </w:rPr>
            </w:pPr>
            <w:r>
              <w:rPr>
                <w:rFonts w:cs="Times New Roman CYR" w:ascii="Times New Roman CYR" w:hAnsi="Times New Roman CYR"/>
                <w:i/>
                <w:iCs/>
                <w:color w:val="000000"/>
                <w:kern w:val="0"/>
              </w:rPr>
            </w:r>
          </w:p>
        </w:tc>
      </w:tr>
      <w:tr>
        <w:trPr>
          <w:trHeight w:val="345"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i/>
                <w:iCs/>
                <w:color w:val="000000"/>
                <w:kern w:val="0"/>
                <w:sz w:val="20"/>
                <w:szCs w:val="20"/>
              </w:rPr>
              <w:t>1.2. Индекс-дефлятор, %</w:t>
            </w:r>
          </w:p>
        </w:tc>
        <w:tc>
          <w:tcPr>
            <w:tcW w:w="1276"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117,40</w:t>
            </w:r>
          </w:p>
        </w:tc>
        <w:tc>
          <w:tcPr>
            <w:tcW w:w="1277"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kern w:val="0"/>
              </w:rPr>
              <w:t>111,00</w:t>
            </w:r>
          </w:p>
        </w:tc>
        <w:tc>
          <w:tcPr>
            <w:tcW w:w="127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kern w:val="0"/>
              </w:rPr>
              <w:t>105,70</w:t>
            </w:r>
          </w:p>
        </w:tc>
        <w:tc>
          <w:tcPr>
            <w:tcW w:w="1241"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kern w:val="0"/>
              </w:rPr>
              <w:t>105,50</w:t>
            </w:r>
          </w:p>
        </w:tc>
        <w:tc>
          <w:tcPr>
            <w:tcW w:w="114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kern w:val="0"/>
              </w:rPr>
              <w:t>105,30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i/>
                <w:i/>
                <w:iCs/>
                <w:kern w:val="0"/>
              </w:rPr>
            </w:pPr>
            <w:r>
              <w:rPr>
                <w:rFonts w:cs="Times New Roman CYR" w:ascii="Times New Roman CYR" w:hAnsi="Times New Roman CYR"/>
                <w:i/>
                <w:iCs/>
                <w:kern w:val="0"/>
              </w:rPr>
            </w:r>
          </w:p>
        </w:tc>
      </w:tr>
      <w:tr>
        <w:trPr>
          <w:trHeight w:val="510"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i/>
                <w:iCs/>
                <w:color w:val="000000"/>
                <w:kern w:val="0"/>
                <w:sz w:val="20"/>
                <w:szCs w:val="20"/>
              </w:rPr>
              <w:t>1.3. Темп роста в сопоставимых ценах, к соответствующему периоду предыдущего года, %</w:t>
            </w:r>
          </w:p>
        </w:tc>
        <w:tc>
          <w:tcPr>
            <w:tcW w:w="1276"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372,29</w:t>
            </w:r>
          </w:p>
        </w:tc>
        <w:tc>
          <w:tcPr>
            <w:tcW w:w="1277"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191,16</w:t>
            </w:r>
          </w:p>
        </w:tc>
        <w:tc>
          <w:tcPr>
            <w:tcW w:w="127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15,63</w:t>
            </w:r>
          </w:p>
        </w:tc>
        <w:tc>
          <w:tcPr>
            <w:tcW w:w="1241"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100,00</w:t>
            </w:r>
          </w:p>
        </w:tc>
        <w:tc>
          <w:tcPr>
            <w:tcW w:w="1145"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i/>
                <w:iCs/>
                <w:color w:val="000000"/>
                <w:kern w:val="0"/>
              </w:rPr>
              <w:t>100,00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i/>
                <w:i/>
                <w:iCs/>
                <w:color w:val="000000"/>
                <w:kern w:val="0"/>
              </w:rPr>
            </w:pPr>
            <w:r>
              <w:rPr>
                <w:rFonts w:cs="Times New Roman CYR" w:ascii="Times New Roman CYR" w:hAnsi="Times New Roman CYR"/>
                <w:i/>
                <w:iCs/>
                <w:color w:val="000000"/>
                <w:kern w:val="0"/>
              </w:rPr>
            </w:r>
          </w:p>
        </w:tc>
      </w:tr>
      <w:tr>
        <w:trPr>
          <w:trHeight w:val="600"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2. Инвестиции в основной капитал за счет бюджетных средств, тыс. руб.</w:t>
            </w:r>
          </w:p>
        </w:tc>
        <w:tc>
          <w:tcPr>
            <w:tcW w:w="1276"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245541,0</w:t>
            </w:r>
          </w:p>
        </w:tc>
        <w:tc>
          <w:tcPr>
            <w:tcW w:w="1277"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550070,0</w:t>
            </w:r>
          </w:p>
        </w:tc>
        <w:tc>
          <w:tcPr>
            <w:tcW w:w="127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210946,0</w:t>
            </w:r>
          </w:p>
        </w:tc>
        <w:tc>
          <w:tcPr>
            <w:tcW w:w="1241"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215692,0</w:t>
            </w:r>
          </w:p>
        </w:tc>
        <w:tc>
          <w:tcPr>
            <w:tcW w:w="114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220006,0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600"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3. Объем инвестиций без бюджетных средств, тыс. руб. (стр. 1 – стр. 2)</w:t>
            </w:r>
          </w:p>
        </w:tc>
        <w:tc>
          <w:tcPr>
            <w:tcW w:w="1276"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1028311,0</w:t>
            </w:r>
          </w:p>
        </w:tc>
        <w:tc>
          <w:tcPr>
            <w:tcW w:w="1277"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2152940,0</w:t>
            </w:r>
          </w:p>
        </w:tc>
        <w:tc>
          <w:tcPr>
            <w:tcW w:w="127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235539,0</w:t>
            </w:r>
          </w:p>
        </w:tc>
        <w:tc>
          <w:tcPr>
            <w:tcW w:w="1241"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255350,0</w:t>
            </w:r>
          </w:p>
        </w:tc>
        <w:tc>
          <w:tcPr>
            <w:tcW w:w="1145"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276001,0</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600" w:hRule="atLeast"/>
        </w:trPr>
        <w:tc>
          <w:tcPr>
            <w:tcW w:w="1394"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firstLine="22" w:left="0" w:right="0"/>
              <w:jc w:val="left"/>
              <w:rPr/>
            </w:pPr>
            <w:r>
              <w:rPr>
                <w:rFonts w:cs="Times New Roman CYR" w:ascii="Times New Roman CYR" w:hAnsi="Times New Roman CYR"/>
                <w:color w:val="000000"/>
                <w:kern w:val="0"/>
              </w:rPr>
              <w:t>4. Среднегодовая численность населения городского круга, чел.</w:t>
            </w:r>
          </w:p>
        </w:tc>
        <w:tc>
          <w:tcPr>
            <w:tcW w:w="1394" w:type="dxa"/>
            <w:tcBorders>
              <w:bottom w:val="single" w:sz="4" w:space="0" w:color="000000"/>
              <w:right w:val="single" w:sz="4" w:space="0" w:color="000000"/>
            </w:tcBorders>
            <w:shd w:color="auto" w:fill="D9D9D9"/>
            <w:vAlign w:val="center"/>
          </w:tcPr>
          <w:p>
            <w:pPr>
              <w:pStyle w:val="Normal"/>
              <w:widowControl w:val="false"/>
              <w:bidi w:val="0"/>
              <w:spacing w:before="0" w:after="0"/>
              <w:ind w:firstLine="22" w:left="0" w:right="0"/>
              <w:jc w:val="center"/>
              <w:rPr/>
            </w:pPr>
            <w:r>
              <w:rPr>
                <w:rFonts w:cs="Times New Roman CYR" w:ascii="Times New Roman CYR" w:hAnsi="Times New Roman CYR"/>
                <w:color w:val="000000"/>
                <w:kern w:val="0"/>
              </w:rPr>
              <w:t>41320</w:t>
            </w:r>
          </w:p>
        </w:tc>
        <w:tc>
          <w:tcPr>
            <w:tcW w:w="1394" w:type="dxa"/>
            <w:gridSpan w:val="2"/>
            <w:tcBorders>
              <w:bottom w:val="single" w:sz="4" w:space="0" w:color="000000"/>
              <w:right w:val="single" w:sz="4" w:space="0" w:color="000000"/>
            </w:tcBorders>
            <w:shd w:color="auto" w:fill="D9D9D9"/>
            <w:vAlign w:val="center"/>
          </w:tcPr>
          <w:p>
            <w:pPr>
              <w:pStyle w:val="Normal"/>
              <w:widowControl w:val="false"/>
              <w:bidi w:val="0"/>
              <w:spacing w:before="0" w:after="0"/>
              <w:ind w:firstLine="22" w:left="0" w:right="0"/>
              <w:jc w:val="center"/>
              <w:rPr/>
            </w:pPr>
            <w:r>
              <w:rPr>
                <w:rFonts w:cs="Times New Roman CYR" w:ascii="Times New Roman CYR" w:hAnsi="Times New Roman CYR"/>
                <w:color w:val="000000"/>
                <w:kern w:val="0"/>
              </w:rPr>
              <w:t>40881</w:t>
            </w:r>
          </w:p>
        </w:tc>
        <w:tc>
          <w:tcPr>
            <w:tcW w:w="1395" w:type="dxa"/>
            <w:gridSpan w:val="2"/>
            <w:tcBorders>
              <w:bottom w:val="single" w:sz="4" w:space="0" w:color="000000"/>
              <w:right w:val="single" w:sz="4" w:space="0" w:color="000000"/>
            </w:tcBorders>
            <w:shd w:color="auto" w:fill="D9D9D9"/>
            <w:vAlign w:val="center"/>
          </w:tcPr>
          <w:p>
            <w:pPr>
              <w:pStyle w:val="Normal"/>
              <w:widowControl w:val="false"/>
              <w:bidi w:val="0"/>
              <w:spacing w:before="0" w:after="0"/>
              <w:ind w:firstLine="22" w:left="0" w:right="0"/>
              <w:jc w:val="center"/>
              <w:rPr/>
            </w:pPr>
            <w:r>
              <w:rPr>
                <w:rFonts w:cs="Times New Roman CYR" w:ascii="Times New Roman CYR" w:hAnsi="Times New Roman CYR"/>
                <w:color w:val="000000"/>
                <w:kern w:val="0"/>
              </w:rPr>
              <w:t>40557</w:t>
            </w:r>
          </w:p>
        </w:tc>
        <w:tc>
          <w:tcPr>
            <w:tcW w:w="1394" w:type="dxa"/>
            <w:gridSpan w:val="2"/>
            <w:tcBorders>
              <w:bottom w:val="single" w:sz="4" w:space="0" w:color="000000"/>
              <w:right w:val="single" w:sz="4" w:space="0" w:color="000000"/>
            </w:tcBorders>
            <w:shd w:color="auto" w:fill="D9D9D9"/>
            <w:vAlign w:val="center"/>
          </w:tcPr>
          <w:p>
            <w:pPr>
              <w:pStyle w:val="Normal"/>
              <w:widowControl w:val="false"/>
              <w:bidi w:val="0"/>
              <w:spacing w:before="0" w:after="0"/>
              <w:ind w:firstLine="22" w:left="0" w:right="0"/>
              <w:jc w:val="center"/>
              <w:rPr/>
            </w:pPr>
            <w:r>
              <w:rPr>
                <w:rFonts w:cs="Times New Roman CYR" w:ascii="Times New Roman CYR" w:hAnsi="Times New Roman CYR"/>
                <w:color w:val="000000"/>
                <w:kern w:val="0"/>
              </w:rPr>
              <w:t>40191</w:t>
            </w:r>
          </w:p>
        </w:tc>
        <w:tc>
          <w:tcPr>
            <w:tcW w:w="2788" w:type="dxa"/>
            <w:gridSpan w:val="4"/>
            <w:tcBorders>
              <w:bottom w:val="single" w:sz="4" w:space="0" w:color="000000"/>
              <w:right w:val="single" w:sz="4" w:space="0" w:color="000000"/>
            </w:tcBorders>
            <w:shd w:color="auto" w:fill="D9D9D9"/>
            <w:vAlign w:val="center"/>
          </w:tcPr>
          <w:p>
            <w:pPr>
              <w:pStyle w:val="Normal"/>
              <w:widowControl w:val="false"/>
              <w:bidi w:val="0"/>
              <w:spacing w:before="0" w:after="0"/>
              <w:ind w:firstLine="22" w:left="0" w:right="0"/>
              <w:jc w:val="center"/>
              <w:rPr/>
            </w:pPr>
            <w:r>
              <w:rPr>
                <w:rFonts w:cs="Times New Roman CYR" w:ascii="Times New Roman CYR" w:hAnsi="Times New Roman CYR"/>
                <w:color w:val="000000"/>
                <w:kern w:val="0"/>
              </w:rPr>
              <w:t>39786</w:t>
            </w:r>
          </w:p>
        </w:tc>
      </w:tr>
      <w:tr>
        <w:trPr>
          <w:trHeight w:val="274" w:hRule="atLeast"/>
        </w:trPr>
        <w:tc>
          <w:tcPr>
            <w:tcW w:w="3538" w:type="dxa"/>
            <w:gridSpan w:val="3"/>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000000"/>
                <w:kern w:val="0"/>
              </w:rPr>
              <w:t>5. Объем инвестиций в основной капитал (за исключением бюджетных средств) в расчете на 1 чел. населения, руб. (стр. 3*1000/стр. 4)</w:t>
            </w:r>
          </w:p>
        </w:tc>
        <w:tc>
          <w:tcPr>
            <w:tcW w:w="1276"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5" w:left="0" w:right="0"/>
              <w:jc w:val="center"/>
              <w:rPr/>
            </w:pPr>
            <w:r>
              <w:rPr>
                <w:rFonts w:cs="Times New Roman CYR" w:ascii="Times New Roman CYR" w:hAnsi="Times New Roman CYR"/>
                <w:b/>
                <w:bCs/>
                <w:color w:val="000000"/>
                <w:kern w:val="0"/>
              </w:rPr>
              <w:t>24 886,52</w:t>
            </w:r>
          </w:p>
        </w:tc>
        <w:tc>
          <w:tcPr>
            <w:tcW w:w="1277"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color w:val="000000"/>
                <w:kern w:val="0"/>
              </w:rPr>
              <w:t>52 663,58</w:t>
            </w:r>
          </w:p>
        </w:tc>
        <w:tc>
          <w:tcPr>
            <w:tcW w:w="127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5" w:left="0" w:right="0"/>
              <w:jc w:val="center"/>
              <w:rPr/>
            </w:pPr>
            <w:r>
              <w:rPr>
                <w:rFonts w:cs="Times New Roman CYR" w:ascii="Times New Roman CYR" w:hAnsi="Times New Roman CYR"/>
                <w:b/>
                <w:bCs/>
                <w:color w:val="000000"/>
                <w:kern w:val="0"/>
              </w:rPr>
              <w:t>5 807,60</w:t>
            </w:r>
          </w:p>
        </w:tc>
        <w:tc>
          <w:tcPr>
            <w:tcW w:w="1241"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5" w:left="0" w:right="0"/>
              <w:jc w:val="center"/>
              <w:rPr/>
            </w:pPr>
            <w:r>
              <w:rPr>
                <w:rFonts w:cs="Times New Roman CYR" w:ascii="Times New Roman CYR" w:hAnsi="Times New Roman CYR"/>
                <w:b/>
                <w:bCs/>
                <w:color w:val="000000"/>
                <w:kern w:val="0"/>
              </w:rPr>
              <w:t>6 353,41</w:t>
            </w:r>
          </w:p>
        </w:tc>
        <w:tc>
          <w:tcPr>
            <w:tcW w:w="1145"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5" w:left="0" w:right="0"/>
              <w:jc w:val="center"/>
              <w:rPr/>
            </w:pPr>
            <w:r>
              <w:rPr>
                <w:rFonts w:cs="Times New Roman CYR" w:ascii="Times New Roman CYR" w:hAnsi="Times New Roman CYR"/>
                <w:b/>
                <w:bCs/>
                <w:color w:val="000000"/>
                <w:kern w:val="0"/>
              </w:rPr>
              <w:t>6 937,14</w:t>
            </w:r>
          </w:p>
        </w:tc>
        <w:tc>
          <w:tcPr>
            <w:tcW w:w="8"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b/>
                <w:bCs/>
                <w:color w:val="000000"/>
                <w:kern w:val="0"/>
              </w:rPr>
            </w:pPr>
            <w:r>
              <w:rPr>
                <w:rFonts w:cs="Times New Roman CYR" w:ascii="Times New Roman CYR" w:hAnsi="Times New Roman CYR"/>
                <w:b/>
                <w:bCs/>
                <w:color w:val="000000"/>
                <w:kern w:val="0"/>
              </w:rPr>
            </w:r>
          </w:p>
        </w:tc>
      </w:tr>
    </w:tbl>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b/>
          <w:bCs/>
          <w:color w:val="000000"/>
          <w:kern w:val="0"/>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Общая площадь территории городского округа составляет 2931,16 га.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2023 году продано из муниципальной собственности в частную собственность 77 земельных участков, площадью 31671,40 кв.м., предоставлено гражданам в рамках «гаражной амнистии» 93 земельных участков, площадью 2617,60 кв.м., многодетным гражданам 33 земельных участка, площадью 37159 кв.м.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площади земельных участков,</w:t>
      </w:r>
      <w:r>
        <w:rPr>
          <w:rFonts w:cs="Calibri"/>
          <w:kern w:val="0"/>
          <w:sz w:val="28"/>
          <w:szCs w:val="28"/>
        </w:rPr>
        <w:t xml:space="preserve"> </w:t>
      </w:r>
      <w:r>
        <w:rPr>
          <w:rFonts w:cs="Times New Roman CYR" w:ascii="Times New Roman CYR" w:hAnsi="Times New Roman CYR"/>
          <w:kern w:val="0"/>
          <w:sz w:val="28"/>
          <w:szCs w:val="28"/>
        </w:rPr>
        <w:t>являющихся объектами налогообложения земельным налогом, в общей площади территории городского округа составила - 32,98% (9966,70га.). В сравнении с 2022 годом доля площади земельных участков,</w:t>
      </w:r>
      <w:r>
        <w:rPr>
          <w:rFonts w:cs="Calibri"/>
          <w:kern w:val="0"/>
          <w:sz w:val="28"/>
          <w:szCs w:val="28"/>
        </w:rPr>
        <w:t xml:space="preserve"> </w:t>
      </w:r>
      <w:r>
        <w:rPr>
          <w:rFonts w:cs="Times New Roman CYR" w:ascii="Times New Roman CYR" w:hAnsi="Times New Roman CYR"/>
          <w:kern w:val="0"/>
          <w:sz w:val="28"/>
          <w:szCs w:val="28"/>
        </w:rPr>
        <w:t>являющихся объектами налогообложения, в общей площади территории городского округа увеличилась на 0,24 %, рост обусловлен продажей земельных участков и предоставлением в собственность земельных участков многодетным гражданам и в рамках «гаражной амнистии».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Ds=Sн/S*100=7,1448/2931,16*100=0,24 %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Планируемое увеличение доли площади земельных участков, являющихся объектами налогообложения, в общей площади территории городского округа в прогнозируемом периоде также связано с продажей земельных участков и предоставлением земельных участков в собственность многодетным гражданам и в рамках «гаражной амнистии».</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5. Доля прибыльных сельскохозяйственных организаций в общем их числе</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территории городского округа отсутствуют сельскохозяйственные организации.</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Протяженность автомобильных дорог общего пользования местного значения на территории городского округа составляет 208,1 км., в том числе с твердым покрытием 114,1км, с усовершенствованным покрытием (асфальтобетон)-83,6 км. Протяженность грунтовых автомобильных дорог-94,0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54,8%.</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По состоянию на 01.01.2024 года протяженность дорог общего пользования местного значения, не отвечающих нормативным требованиям на территории городского округа составила 92,9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44,64%. Изменения </w:t>
      </w:r>
      <w:r>
        <w:rPr>
          <w:rFonts w:cs="Times New Roman CYR" w:ascii="Times New Roman CYR" w:hAnsi="Times New Roman CYR"/>
          <w:color w:val="000000"/>
          <w:kern w:val="0"/>
          <w:sz w:val="28"/>
          <w:szCs w:val="28"/>
        </w:rPr>
        <w:t>показателей по автомобильным дорогам с твердым покрытием, с усовершенствованным и грунтовым покрытием произошли в связи с проведением инвентаризации автомобильных дорог общего пользования местного значения и размещением их в системе контроля дорожных фондов (СКДФ).</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отчетном году на ремонт автомобильных дорог общего пользования местного значения городского округа было израсходовано 68551,0 тыс. рублей, в том числе в рамках реализации государственной программы Красноярского края «Развитие транспортной системы» и подпрограммы «Дороги Красноярья» было выделено 68481,5 тыс. рублей из краевого бюджета и 69,5 тыс. рублей из бюджета города Шарыпово. На эти средства были отремонтированы участки автомобильных дорог проспекта Центральный-0,45 км. и проспект Энергетиков-2,546 км.</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текущем году планируется отремонтировать 0,45 км. участка автодороги проспекта Преображенский, участок автодороги проспекта Центральный -0,56 км. и ул.Норильская-0,962 км. На эти цели так же в рамках реализации государственной программы Красноярского края «Развитие транспортной системы» и подпрограммы «Дороги Красноярья» предусмотрены субсидии из краевого бюджета 71742,9 тыс. рублей и бюджета города Шарыпово 72,765 тыс. рублей. 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Городской поселок Дубинино и городской поселок Горячегорск входящие в состав городского округа города Шарыпово имеют регулярное автобусное сообщение с административным центром - городом Шарыпово.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8. Среднемесячная номинальная начисленная заработная плата работников:</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8.1. крупных и средних предприятий и некоммерческих организаций;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2023 году составила 47 815,50 рублей (114,3% к уровню 2023 года).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отчетном году в Администрации города Шарыпово проведено 4 заседания комиссии по легализации «теневой» заработной платы.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в результате которой обеспечен рост средней заработной платы на предприятиях. </w:t>
      </w:r>
    </w:p>
    <w:p>
      <w:pPr>
        <w:pStyle w:val="Normal"/>
        <w:widowControl w:val="false"/>
        <w:shd w:fill="FFFFFF"/>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Ожидается, что в прогнозном периоде будут сохранены все действующие гарантии на рынке труда со стороны государства:</w:t>
      </w:r>
    </w:p>
    <w:p>
      <w:pPr>
        <w:pStyle w:val="Normal"/>
        <w:widowControl w:val="false"/>
        <w:shd w:fill="FFFFFF"/>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минимальный размер оплаты труда будет ежегодно устанавливаться в размере величины прожиточного минимума трудоспособного населения;</w:t>
      </w:r>
    </w:p>
    <w:p>
      <w:pPr>
        <w:pStyle w:val="Normal"/>
        <w:widowControl w:val="false"/>
        <w:shd w:fill="FFFFFF"/>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достигнутые уровни заработной платы отдельных категорий работников, определенных Указами Президента Российской Федерации, </w:t>
      </w:r>
      <w:r>
        <w:rPr>
          <w:rFonts w:cs="Times New Roman CYR" w:ascii="Times New Roman CYR" w:hAnsi="Times New Roman CYR"/>
          <w:sz w:val="28"/>
          <w:szCs w:val="28"/>
        </w:rPr>
        <w:t>в части размера заработной платы отдельных категорий работников бюджетной сферы</w:t>
      </w:r>
      <w:r>
        <w:rPr>
          <w:rFonts w:cs="Times New Roman CYR" w:ascii="Times New Roman CYR" w:hAnsi="Times New Roman CYR"/>
          <w:kern w:val="0"/>
          <w:sz w:val="28"/>
          <w:szCs w:val="28"/>
        </w:rPr>
        <w:t>;</w:t>
      </w:r>
    </w:p>
    <w:p>
      <w:pPr>
        <w:pStyle w:val="Normal"/>
        <w:widowControl w:val="false"/>
        <w:shd w:fill="FFFFFF"/>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также будет сохранена практика проведения ежегодной индексации </w:t>
      </w:r>
      <w:r>
        <w:rPr>
          <w:rFonts w:cs="Times New Roman CYR" w:ascii="Times New Roman CYR" w:hAnsi="Times New Roman CYR"/>
          <w:sz w:val="28"/>
          <w:szCs w:val="28"/>
        </w:rPr>
        <w:t>оплаты труда работников крупных и средних предприятий на уровень инфляции.</w:t>
      </w:r>
    </w:p>
    <w:p>
      <w:pPr>
        <w:pStyle w:val="Normal"/>
        <w:widowControl w:val="false"/>
        <w:shd w:fill="FFFFFF"/>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результате ожидается повышение заработной платы работников крупных и средних предприятий до уровня 59 715,95 рублей к 2026 году. </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8.2. муниципальных дошкольных 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результате увеличения фонда оплаты труда работникам учреждения, месячная заработная плата которых при полностью отработанной норме рабочего времени и выполненной норме труда с учетом выплат компенсационного и стимулирующего характера ниже размера минимальной заработной платы в Красноярском крае произошел рост среднемесячной заработной платы в муниципальных дошкольных образовательных учреждениях с 36 064,1 рублей в 2022 году до 39 908,7 рублей в 2023 году.</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Согласно прогнозным данным, повышение заработной платы в 2024 году работникам муниципальных дошкольных образовательных учреждений ожидается на 12,04%, за счет специальной краевой выплаты в размере не более 3000 рублей, которая устанавливается ежемесячно с учетом районного коэффициента и процентной надбавки за стаж работы в районах Крайнего Севера и приравненных к ним местностях по основному месту работы при полностью отработанной норме рабочего времени и выполненной норме труда.</w:t>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8.3. муниципальных общеобразовательных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tabs>
          <w:tab w:val="clear" w:pos="720"/>
          <w:tab w:val="left" w:pos="790"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Повышение заработной платы учителей произошло за счет повышения фонда оплаты труда в результате увеличения численности учащихся и количества классов:</w:t>
      </w:r>
    </w:p>
    <w:p>
      <w:pPr>
        <w:pStyle w:val="Normal"/>
        <w:widowControl w:val="false"/>
        <w:tabs>
          <w:tab w:val="clear" w:pos="720"/>
          <w:tab w:val="left" w:pos="790"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в муниципальных общеобразовательных учреждениях с 46 011,7 рублей в 2022 году до 51 536,5 рублей в 2023 году (112,0%).</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у учителей муниципальных общеобразовательных учреждений с 58 663,8 рублей в 2022 году до 63 031,6 рублей в 2023 году (107,4%).</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Повышение в 2024 году заработной платы работников общеобразовательных учреждений ожидается на 14,5%, за счет:</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специальной краевой выплаты в размере 3000 рублей;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выполнения поручения Президента об увеличении вдвое (до 10 тыс. руб.) федеральной выплаты за классное руководство в малых городах и небольших населенных пунктах.</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8.4. муниципальных учреждений культуры и искусства;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Среднемесячная номинальная начисленная заработная плата работников муниципальных учреждений культуры за 2023 год составила 46 195,0 рублей. Ежемесячный размер средней заработной платы работников культуры соблюден в рамках условий Соглашений, заключенных между Министерством финансов Красноярского края и Администрацией города Шарыпово. </w:t>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прогнозируемом периоде среднемесячная номинальная начисленная заработная плата работников муниципальных учреждений культуры составит 48 661,20 рублей.</w:t>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8.5. муниципальных учреждений физической культуры и спорта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Среднемесячная номинальная начисленная заработная плата в учреждениях физической культуры и спорта за 2023 год составила 31 002,00 рублей (110,01% к уровню 2022г.).</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II. Дошкольное образование</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детей в возрасте от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2023 году составила 80,41%, в 2022 году данный показатель составлял 78,7%. Увеличение показателя связано со снижением количества детей в возрасте 1 – 6 лет, проживающих в городе. Показатель до 2026 года планируется увеличить до 82,20%. Изменение показателя возможно за счёт изменения численности детей дошкольного возраста.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конец отчетного периода в городском округе ликвидирована очередность детей в возрасте от 1 до 7 лет и функционирует 10 дошкольных образовательных учреждений, которые посещает 2369 детей в возрасте с 1 до 7 лет.</w:t>
      </w:r>
    </w:p>
    <w:p>
      <w:pPr>
        <w:pStyle w:val="Normal"/>
        <w:widowControl w:val="false"/>
        <w:bidi w:val="0"/>
        <w:spacing w:before="0" w:after="0"/>
        <w:ind w:firstLine="709" w:left="0" w:right="0"/>
        <w:jc w:val="both"/>
        <w:rPr>
          <w:rFonts w:ascii="Times New Roman CYR" w:hAnsi="Times New Roman CYR" w:cs="Times New Roman CYR"/>
          <w:kern w:val="0"/>
          <w:sz w:val="28"/>
          <w:szCs w:val="28"/>
          <w:highlight w:val="white"/>
        </w:rPr>
      </w:pPr>
      <w:r>
        <w:rPr>
          <w:rFonts w:cs="Times New Roman CYR" w:ascii="Times New Roman CYR" w:hAnsi="Times New Roman CYR"/>
          <w:kern w:val="0"/>
          <w:sz w:val="28"/>
          <w:szCs w:val="28"/>
        </w:rPr>
        <w:t xml:space="preserve">Доля детей в возрасте 1 – 6 лет, состоящих на учёте для определения в муниципальные дошкольные образовательные учреждения, в общей численности детей в возрасте 1 – 6 лет составила 0% в 2023 году, это обусловлено тем, что </w:t>
      </w:r>
      <w:r>
        <w:rPr>
          <w:rFonts w:cs="Times New Roman CYR" w:ascii="Times New Roman CYR" w:hAnsi="Times New Roman CYR"/>
          <w:kern w:val="0"/>
          <w:sz w:val="28"/>
          <w:szCs w:val="28"/>
          <w:highlight w:val="white"/>
        </w:rPr>
        <w:t>актуальной очереди в городском округе нет.</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Для создания безопасных, комфортных условий функционирования объектов муниципальной собственности и развития дошкольных муниципальных учреждений 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десяти учреждениях дошкольного образования:     МБДОУ №2 «Дюймовочка», МБДОУ № 3 «Чебурашка», МБДОУ №15 «Ромашка», МБДОУ №22 «Журавушка», МБДОУ №21 «Золотой ключик», МБДОУ №5 «Дельфин», МБДОУ №8 «Теремок», МБДОУ №4 «Росинка», МАДОУ №6 «Золушка», МАДОУ №1 «Белоснежка» выполнены следующие мероприятия: капитальный ремонт оконных и дверных блоков (304 окна, 15 дверей); текущий ремонт теневых навесов (2 шт.), выполнен текущий ремонт пищеблока, кровли, системы отопления, системы водоотведения, системы горячего водоснабжения, ремонт системы АПС. Произведены работы по замене пожарно-дымового извещателя, произведено испытание и измерение электропроводки; выполнен ремонт электроснабжения входных групп. </w:t>
      </w:r>
    </w:p>
    <w:p>
      <w:pPr>
        <w:pStyle w:val="Normal"/>
        <w:widowControl w:val="false"/>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дошкольных образовательных учреждений, здания которых находятся в аварийном состоянии или требуют капитального ремонта составила 100%. Показатель сохранится на данном уровне до 2026 г.</w:t>
      </w:r>
    </w:p>
    <w:p>
      <w:pPr>
        <w:pStyle w:val="Normal"/>
        <w:widowControl w:val="false"/>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Перечень дошкольных образовательных учреждений, здания которых требуют капитального ремонта: </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автономное дошкольное образовательное учреждение «Детский сад №1 «Белоснежка».</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№2 «Дюймовочка» общеразвивающего вида с приоритетным осуществлением деятельности по художественно-эстетическому развитию детей».</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№3 «Чебурашка» общеразвивающего вида с приоритетным осуществлением деятельности по экологическому развитию детей».</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№4 «Росинка» комбинированного вида».</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№5 «Дельфин» комбинированного вида».</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автономное дошкольное образовательное учреждение «Детский сад №6 «Золушка».</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развитию детей».</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№15 «Ромашка» общеразвивающего вида с приоритетным осуществлением деятельности по физическому направлению развития детей».</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№21 «Золотой ключик» комбинированного вида».</w:t>
      </w:r>
    </w:p>
    <w:p>
      <w:pPr>
        <w:pStyle w:val="Normal"/>
        <w:widowControl w:val="false"/>
        <w:numPr>
          <w:ilvl w:val="0"/>
          <w:numId w:val="2"/>
        </w:numPr>
        <w:tabs>
          <w:tab w:val="clear" w:pos="720"/>
          <w:tab w:val="left" w:pos="1134"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дошкольное образовательное учреждение «Детский сад №22 «Журавушка» общеразвивающего вида с приоритетным осуществлением деятельности по художественно-эстетическому направлению развития детей».</w:t>
      </w:r>
    </w:p>
    <w:p>
      <w:pPr>
        <w:pStyle w:val="Normal"/>
        <w:widowControl w:val="false"/>
        <w:bidi w:val="0"/>
        <w:spacing w:before="0" w:after="0"/>
        <w:ind w:firstLine="709" w:left="0" w:right="0"/>
        <w:jc w:val="both"/>
        <w:rPr>
          <w:rFonts w:ascii="Times New Roman CYR" w:hAnsi="Times New Roman CYR" w:cs="Times New Roman CYR"/>
          <w:color w:val="FFFFFF"/>
          <w:kern w:val="0"/>
          <w:sz w:val="24"/>
          <w:szCs w:val="24"/>
          <w:highlight w:val="white"/>
        </w:rPr>
      </w:pPr>
      <w:r>
        <w:rPr>
          <w:rFonts w:cs="Times New Roman CYR" w:ascii="Times New Roman CYR" w:hAnsi="Times New Roman CYR"/>
          <w:color w:val="FFFFFF"/>
          <w:kern w:val="0"/>
          <w:sz w:val="24"/>
          <w:szCs w:val="24"/>
          <w:highlight w:val="white"/>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III. Общее и дополнительное образование</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в 2023 г. – 0%.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2024 году планируется значение данного показателя на уровне 0,4%, что будет равно 1 выпускнику. До 2026 года ожидается увеличение данного показателя до 0,5%. В числовом эквиваленте не ожидается увеличение количества не сдавших ЕГЭ, но в связи со снижением численности обучающихся на уровне среднего общего образования, доля от общей численности выпускников увеличивается.</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2023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81,25%</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прогнозном периоде данный показатель сохранится на уровне 81,25%, так как Горячегорска ООШ филиал МБОУ СОШ №1 не имеет централизованной системы отопления и водоснабжения, а в МБОУ СОШ №2 (здание начальной школы) существующий спортивный зал не соответствует требованиям СНиП по высоте помещения. Для приведения помещения в соответствие с требованиями СНиП и СанПиН необходимо увеличить высоту спортивного зала, для этого нужно будет проводить реконструкцию здания. Для повышения показателя доли муниципальных общеобразовательных учреждений, соответствующих современным требованиям обучения, требуются большие капитальные вложения. Кроме того, в шести общеобразовательных учреждениях не созданы условия для беспрепятственного доступа инвалидов.</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 2026 года показатель увеличиться до 82,5% в связи с проведением капитального ремонта здания МАОУ СОШ №12, МБОУ СОШ №1.</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Для создания безопасных, комфортных и здоровье сохраняющих условий для учащихся общеобразовательных учреждений краевого бюджета выделены субсидии на устранение предписаний надзорных органов в сумме 3 225,0 тыс. рублей, софинансирование из бюджета города </w:t>
      </w:r>
      <w:r>
        <w:rPr>
          <w:rFonts w:cs="Times New Roman CYR" w:ascii="Times New Roman CYR" w:hAnsi="Times New Roman CYR"/>
          <w:b/>
          <w:bCs/>
          <w:kern w:val="0"/>
          <w:sz w:val="28"/>
          <w:szCs w:val="28"/>
        </w:rPr>
        <w:t xml:space="preserve">– </w:t>
      </w:r>
      <w:r>
        <w:rPr>
          <w:rFonts w:cs="Times New Roman CYR" w:ascii="Times New Roman CYR" w:hAnsi="Times New Roman CYR"/>
          <w:kern w:val="0"/>
          <w:sz w:val="28"/>
          <w:szCs w:val="28"/>
        </w:rPr>
        <w:t>32 577,00 руб., на которые выполнены работы по капитальному ремонту оконных блоков (57 шт.), текущий ремонт наружного освещения и</w:t>
      </w:r>
      <w:r>
        <w:rPr>
          <w:rFonts w:cs="Times New Roman CYR" w:ascii="Times New Roman CYR" w:hAnsi="Times New Roman CYR"/>
          <w:kern w:val="0"/>
          <w:sz w:val="24"/>
          <w:szCs w:val="24"/>
        </w:rPr>
        <w:t xml:space="preserve"> </w:t>
      </w:r>
      <w:r>
        <w:rPr>
          <w:rFonts w:cs="Times New Roman CYR" w:ascii="Times New Roman CYR" w:hAnsi="Times New Roman CYR"/>
          <w:kern w:val="0"/>
          <w:sz w:val="28"/>
          <w:szCs w:val="28"/>
        </w:rPr>
        <w:t>замена щитов электрических (5 шт.) в МБОУ СОШ № 7 и произведен текущий ремонт туалетов в младшем блоке в МБОУ СОШ №2.</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шести общеобразовательных учреждениях МБОУ СОШ №1, МБОУ СОШ №2, МАОУ СОШ № 3, МБОУ ООШ № 6, МБОУ СОШ №7, МАОУ СОШ №8 выполнены мероприятия: текущий ремонт отопления, водопровода и канализационных сетей, системы водоснабжения, пола, кровли, туалетов в младшем блоке, ремонт пожарной сигнализации. Разработана ПСД на капитальный ремонт системы отопления; оснащение объекта системой видеонаблюдения. Произведен монтаж тревожной кнопки, системы оповещения, текущий ремонт помещений для оборудования центра «Точка роста» (замена электропроводки, участков ГВС, ХВС, канализации). Выполнен капитальный ремонт оконных блоков (57 шт.).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МАОУ СОШ №8 оборудовано КПП при входе (въезде) на прилегающую территорию (2 шт.), оснащены въезды средствами снижения скорости, воротами, обеспечивающими жесткую фиксацию их створок в закрытом положении; установлена система контроля доступа и управления доступом.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2023 году показатель доли муниципальных общеобразовательных учреждений, здания которых находятся в аварийном состоянии или требуют капитального ремонта, составляет 100%.</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Значение показателя сохранится на уровне 100% до 2024 года.    Уменьшение доли муниципальных общеобразовательных учреждений, здания которых находятся в аварийном состоянии или требуют капитального ремонта до 66,6% в 2026 г., станет возможным за счет участия в городских и краевых государственных программах в случае выделения денежных средств на нужды общеобразовательных учреждений. 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Перечень общеобразовательных учреждений, здания которых требуют капитального ремонта:</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Муниципальное бюджетное общеобразовательное учреждение «Средняя общеобразовательная школа №1». </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общеобразовательное учреждение «Средняя общеобразовательная школа №2».</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автономное общеобразовательное учреждение «Средняя общеобразовательная школа №3».</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общеобразовательное учреждение «Основная общеобразовательная школа №6».</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бюджетное общеобразовательное учреждение «Средняя общеобразовательная школа №7».</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автономное общеобразовательное учреждение «Средняя общеобразовательная школа №8».</w:t>
      </w:r>
    </w:p>
    <w:p>
      <w:pPr>
        <w:pStyle w:val="Normal"/>
        <w:widowControl w:val="false"/>
        <w:numPr>
          <w:ilvl w:val="0"/>
          <w:numId w:val="3"/>
        </w:numPr>
        <w:tabs>
          <w:tab w:val="clear" w:pos="720"/>
          <w:tab w:val="left" w:pos="1276"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Муниципальное автономное общеобразовательное учреждение «Средняя общеобразовательная школа №12».</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16. Доля детей первой и второй групп здоровья в общей численности обучающихся в муниципальных общеобразовательных учреждениях</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детей первой и второй групп здоровья в общей численности обучающихся в муниципальных общеобразовательных учреждениях повысилась с 88,48% в 2022 году до 88,50% в 2023 году. Ожидаем повышение данного показателя к 2026 году до 88,55% за счет применения в образовательном процессе здоровьесберегающих технологий.</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2023 году во всех общеобразовательных учреждениях учащиеся занимались в первую смену. В связи с проведением капитальных ремонтов в 2024, 2025 году в МАОУ СОШ №12, в 2025 году в МБОУ СОШ №1, отдельные классы будут выводиться во вторую смену, так как учебный процесс будет организован на территориях действующих школ. Поэтому ожидаем, что доля детей, обучающихся во вторую смену в 2024, 2025 году будет составлять 0,8% и 14% соответственно.</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С 2026 года данный показатель прогнозируется на уровне 0%. </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Увеличение показателя в 2023 году по сравнению с 2022 годом на 0,24 тыс. рублей произошло в связи с увеличением фонда оплаты труда по категории работников учреждений, главным распорядителем которых является Управление образованием Администрации города Шарыпово.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8"/>
          <w:szCs w:val="2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2022 году составила 78,6%, в 2023 году данный показатель увеличился до уровня 87,06%. Увеличение показателя удалось достичь за счет разработки новых дополнительных общеобразовательных программ в рамках центров образования «Точка роста», краткосрочных программ по приоритетным направлениям образовательной деятельности. В 2024 году планируется данный показатель на уровне 87,07%. </w:t>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IV. Культура</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20. Уровень фактической обеспеченности учреждениями культуры от нормативной потребности:</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клубами и учреждениями клубного типа;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Согласно нормам, обеспеченность учреждениями клубного типа в городском округе должна составлять 1 учреждение на 20 000 человек населения. В городе осуществляют деятельность МАУ «Центр культурного развития г. Шарыпово» (с филиалами в пос. Горячегорск и пос. Дубинино).</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Исходя из численности населения в 40881 человек, обеспеченность клубами и клубными учреждениями составляет 100%.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8"/>
          <w:szCs w:val="28"/>
        </w:rPr>
        <w:t xml:space="preserve">В прогнозируемом периоде обеспеченность населения клубами и клубными учреждениями останется на уровне отчетного периода (100%). </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библиотеками;</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На сегодняшний день фактическая обеспеченность библиотеками, как и в 2022 году, составляет 100%. </w:t>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Расчеты по фактической обеспеченности библиотеками:</w:t>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highlight w:val="white"/>
        </w:rPr>
      </w:pPr>
      <w:r>
        <w:rPr>
          <w:rFonts w:cs="Times New Roman CYR" w:ascii="Times New Roman CYR" w:hAnsi="Times New Roman CYR"/>
          <w:kern w:val="0"/>
          <w:sz w:val="28"/>
          <w:szCs w:val="28"/>
          <w:highlight w:val="white"/>
        </w:rPr>
        <w:t xml:space="preserve">в городском округе должна быть 1 библиотека на 20 000 жителей с учетом пешеходной доступности библиотеки и 1 детская библиотека из расчета 10000 детей дошкольного и школьного возраста. </w:t>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highlight w:val="white"/>
        </w:rPr>
      </w:pPr>
      <w:r>
        <w:rPr>
          <w:rFonts w:cs="Times New Roman CYR" w:ascii="Times New Roman CYR" w:hAnsi="Times New Roman CYR"/>
          <w:kern w:val="0"/>
          <w:sz w:val="28"/>
          <w:szCs w:val="28"/>
          <w:highlight w:val="white"/>
        </w:rPr>
        <w:t xml:space="preserve">Население города на начало 2023 года составляло 41024 человек, из них детей 9 293 человек (0-17 лет включительно). В городе работают 8 библиотек, 2 из них детские. </w:t>
      </w:r>
    </w:p>
    <w:p>
      <w:pPr>
        <w:pStyle w:val="Normal"/>
        <w:widowControl w:val="false"/>
        <w:tabs>
          <w:tab w:val="clear" w:pos="720"/>
          <w:tab w:val="left" w:pos="284" w:leader="none"/>
          <w:tab w:val="left" w:pos="993" w:leader="none"/>
        </w:tabs>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highlight w:val="white"/>
        </w:rPr>
        <w:t xml:space="preserve">В п. Горячегорск на население 383 человек приходится 1 библиотека. </w:t>
      </w:r>
      <w:r>
        <w:rPr>
          <w:rFonts w:cs="Times New Roman CYR" w:ascii="Times New Roman CYR" w:hAnsi="Times New Roman CYR"/>
          <w:i/>
          <w:iCs/>
          <w:kern w:val="0"/>
          <w:sz w:val="28"/>
          <w:szCs w:val="28"/>
          <w:highlight w:val="white"/>
        </w:rPr>
        <w:t xml:space="preserve"> </w:t>
      </w:r>
      <w:r>
        <w:rPr>
          <w:rFonts w:cs="Times New Roman CYR" w:ascii="Times New Roman CYR" w:hAnsi="Times New Roman CYR"/>
          <w:kern w:val="0"/>
          <w:sz w:val="28"/>
          <w:szCs w:val="28"/>
          <w:highlight w:val="white"/>
        </w:rPr>
        <w:t>В п. Дубинино</w:t>
      </w:r>
      <w:r>
        <w:rPr>
          <w:rFonts w:cs="Times New Roman CYR" w:ascii="Times New Roman CYR" w:hAnsi="Times New Roman CYR"/>
          <w:i/>
          <w:iCs/>
          <w:kern w:val="0"/>
          <w:sz w:val="28"/>
          <w:szCs w:val="28"/>
          <w:highlight w:val="white"/>
        </w:rPr>
        <w:t xml:space="preserve"> </w:t>
      </w:r>
      <w:r>
        <w:rPr>
          <w:rFonts w:cs="Times New Roman CYR" w:ascii="Times New Roman CYR" w:hAnsi="Times New Roman CYR"/>
          <w:kern w:val="0"/>
          <w:sz w:val="28"/>
          <w:szCs w:val="28"/>
          <w:highlight w:val="white"/>
        </w:rPr>
        <w:t>на 7 351 человек населения приходится 1 библиотека</w:t>
      </w:r>
      <w:r>
        <w:rPr>
          <w:rFonts w:cs="Times New Roman CYR" w:ascii="Times New Roman CYR" w:hAnsi="Times New Roman CYR"/>
          <w:i/>
          <w:iCs/>
          <w:kern w:val="0"/>
          <w:sz w:val="28"/>
          <w:szCs w:val="28"/>
          <w:highlight w:val="white"/>
        </w:rPr>
        <w:t>.</w:t>
      </w:r>
      <w:r>
        <w:rPr>
          <w:rFonts w:cs="Times New Roman CYR" w:ascii="Times New Roman CYR" w:hAnsi="Times New Roman CYR"/>
          <w:kern w:val="0"/>
          <w:sz w:val="28"/>
          <w:szCs w:val="28"/>
          <w:highlight w:val="white"/>
        </w:rPr>
        <w:t xml:space="preserve"> В г. Шарыпово с 33 290 человек населения минимум должно быть 2 библиотеки (по факту 6 библиотек)</w:t>
      </w:r>
      <w:r>
        <w:rPr>
          <w:rFonts w:cs="Times New Roman CYR" w:ascii="Times New Roman CYR" w:hAnsi="Times New Roman CYR"/>
          <w:i/>
          <w:iCs/>
          <w:kern w:val="0"/>
          <w:sz w:val="28"/>
          <w:szCs w:val="28"/>
          <w:highlight w:val="white"/>
        </w:rPr>
        <w:t>.</w:t>
      </w:r>
      <w:r>
        <w:rPr>
          <w:rFonts w:cs="Times New Roman CYR" w:ascii="Times New Roman CYR" w:hAnsi="Times New Roman CYR"/>
          <w:kern w:val="0"/>
          <w:sz w:val="28"/>
          <w:szCs w:val="28"/>
          <w:highlight w:val="white"/>
        </w:rPr>
        <w:t xml:space="preserve">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8"/>
          <w:szCs w:val="28"/>
        </w:rPr>
        <w:t xml:space="preserve">В прогнозируемом периоде обеспеченность населения библиотеками останется на уровне отчетного периода (100%). </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парками культуры и отдыха.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cs="Calibri"/>
          <w:kern w:val="0"/>
        </w:rPr>
      </w:pPr>
      <w:r>
        <w:rPr>
          <w:rFonts w:cs="Times New Roman CYR" w:ascii="Times New Roman CYR" w:hAnsi="Times New Roman CYR"/>
          <w:kern w:val="0"/>
          <w:sz w:val="28"/>
          <w:szCs w:val="28"/>
        </w:rPr>
        <w:t>На территории городского округа отсутствуют парки культуры и отдыха.</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17,65%.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конец 2023 года из 17 зданий учреждений культуры одно здание требует реконструкции и 2 здания требуют капитального ремонта: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здание городского Дома культуры (филиал МАУ «ЦКР г. Шарыпово») требует реконструкции в части обустройства санитарно-гигиенического помещения для посетителей. В отчетном году подана заявка на участие в конкурсном отборе по предоставлению и распределению иных межбюджетных трансфертов бюджетам муниципальных образований Красноярского края на создание (реконструкцию) и капитальный ремонт культурно-досуговых учреждений в сельской местности (разработка ПСД и прохождение государственной экспертизы ПСД). Заявка не получила поддержки;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 здание Дома культуры п. Горячегорск (филиал МАУ «ЦКР г. Шарыпово») требует капитального ремонта ввиду сильной изношенности элементов здания; </w:t>
      </w:r>
    </w:p>
    <w:p>
      <w:pPr>
        <w:pStyle w:val="Normal"/>
        <w:widowControl w:val="false"/>
        <w:bidi w:val="0"/>
        <w:spacing w:before="0" w:after="0"/>
        <w:ind w:firstLine="709" w:left="0" w:right="0"/>
        <w:jc w:val="both"/>
        <w:rPr>
          <w:rFonts w:ascii="TimesNewRomanPSMT" w:hAnsi="TimesNewRomanPSMT" w:cs="TimesNewRomanPSMT"/>
          <w:color w:val="00000A"/>
          <w:kern w:val="0"/>
          <w:sz w:val="28"/>
          <w:szCs w:val="28"/>
        </w:rPr>
      </w:pPr>
      <w:r>
        <w:rPr>
          <w:rFonts w:cs="Times New Roman CYR" w:ascii="Times New Roman CYR" w:hAnsi="Times New Roman CYR"/>
          <w:kern w:val="0"/>
          <w:sz w:val="28"/>
          <w:szCs w:val="28"/>
        </w:rPr>
        <w:t xml:space="preserve">- здание МБУДО «Детская школа искусств г. Шарыпово» требует капитального ремонта систем отопления, ХВС и ГВС.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плановом периоде данный показатель составит 11,76%, так как в здании МБУДО «Детская школа искусств г. Шарыпово» планируется произвести капитальный ремонт систем отопления, ХВС и ГВС. </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2023 году составляет 100%. В плановом периоде данный показатель так же составит 100%.</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V. Физическая культура и спорт</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23. Доля населения, систематически занимающегося физической культурой и спортом</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w:t>
      </w:r>
      <w:r>
        <w:rPr>
          <w:rFonts w:cs="Times New Roman CYR" w:ascii="Times New Roman CYR" w:hAnsi="Times New Roman CYR"/>
          <w:color w:val="000000"/>
          <w:kern w:val="0"/>
          <w:sz w:val="28"/>
          <w:szCs w:val="28"/>
        </w:rPr>
        <w:t>оля населения, систематически занимающегося физической культурой и спортом»</w:t>
      </w:r>
      <w:r>
        <w:rPr>
          <w:rFonts w:cs="Times New Roman CYR" w:ascii="Times New Roman CYR" w:hAnsi="Times New Roman CYR"/>
          <w:kern w:val="0"/>
          <w:sz w:val="28"/>
          <w:szCs w:val="28"/>
        </w:rPr>
        <w:t xml:space="preserve"> по состоянию на 31 декабря 2023 года составила – 55,89% населения в возрасте от 3 до 79 лет, что на 4,21 % больше, чем по состоянию на 31.12.2022 года (51,68%).</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Согласно оценке, к 2026 году, численность занимающихся физкультурой и спортом </w:t>
      </w:r>
      <w:r>
        <w:rPr>
          <w:rFonts w:cs="Times New Roman CYR" w:ascii="Times New Roman CYR" w:hAnsi="Times New Roman CYR"/>
          <w:color w:val="000000"/>
          <w:kern w:val="0"/>
          <w:sz w:val="28"/>
          <w:szCs w:val="28"/>
        </w:rPr>
        <w:t xml:space="preserve">вырастит до 61,99%, </w:t>
      </w:r>
      <w:r>
        <w:rPr>
          <w:rFonts w:cs="Times New Roman CYR" w:ascii="Times New Roman CYR" w:hAnsi="Times New Roman CYR"/>
          <w:kern w:val="0"/>
          <w:sz w:val="28"/>
          <w:szCs w:val="28"/>
        </w:rPr>
        <w:t>увеличение значения показателя будет достигнуто за счет строительства спортивных площадок, открытия спортивных залов. В городском округе действуют 2 спортивные школы, реализующие программы спортивной подготовки. Численность детей, занимающихся в спортивных школах составляет 1171 человек, согласно плану комплектования по 13 видам спорта: легкая атлетика, волейбол, футбол, армрестлинг, пауэрлифтинг, адаптивная физическая культура и спорт (спорт ЛИН, спорт лиц с ПОДА), бокс, дзюдо, вольная борьба, греко-римская борьба, кикбоксинг, самбо, каратэ.</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базе муниципального автономного учреждения «Центр физкультурно-спортивной подготовки» осуществляют свою деятельность 8 спортивных клубов по месту жительства, в которых занимается 1201 человек. В клубах культивируются такие виды спорта как: волейбол, баскетбол, футбол, мини-футбол, хоккей, лыжные гонки, шашки, шахматы и армспорт, а также они работают по привлечению горожан к занятиям физической культуры и спорта. В муниципальном бюджетном учреждении «Спортивная школа города Шарыпово» функционирует отделение адаптивной физической культуры и спорта, где занимаются 70 инвалидов.</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рамках мероприятий по увеличению доли населения, систематически занимающихся физической культурой и спортом на территории города Шарыпово планируется:</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совершенствовать организацию физического воспитания детей и учащейся молодежи;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развивать новые формы физкультурно-оздоровительной и спортивно-массовой работы с населением;</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кадровое обеспечение, повышение квалификации, подготовка и переподготовка физкультурно-спортивных кадров;</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организовывать физкультурно-оздоровительную и спортивную работу среди инвалидов (детей-инвалидов) и людей с ограниченными возможностями здоровья;</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сохранять и развивать физкультурно-оздоровительные и спортивные сооружения, создавать условия финансового обеспечения игровых видов спорта;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внедрять и развивать комплекс ГТО на территории городского округа;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осуществлять информационное обеспечение, пропаганду и рекламу сферы физической культуры и спорта, здорового образа жизни.</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23.1. Доля обучающихся, систематически занимающихся физической культурой и спортом, в общей численности обучающихся</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обучающихся, систематически занимающихся физической культурой и спортом, в общей численности обучающихся» составила – 100 %, данный показатель остался без изменений по сравнению с предыдущим годом, в связи с притоком занимающихся в город с ближайших сел и поселков для занятий физической культурой и спортом.</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8"/>
          <w:szCs w:val="28"/>
        </w:rPr>
        <w:t>Планируется, что в 2024 году значение данного показателя снизится до 99,7%, 2025 – 2026 годах составит до 99,8% и 99,9% соответственно. Снижение произойдет в связи с естественной сменой контингента учащихся образовательных учреждений.</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VI. Жилищное строительство и обеспечение граждан жильем</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24. Общая площадь жилых помещений, приходящаяся в среднем на одного жителя</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Общая площадь жилых помещений, приходящаяся в среднем на одного жителя в 2023 г. составляла 30,19 кв. м., рост к уровню 2022 года на 0,2%.</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прогнозируемом периоде планируется незначительный рост данного показателя к 2024 году - 30,36 кв.м. Увеличение данного показателя в большей степени зависит от прогнозируемого снижения количества среднегодовой численности постоянного населения городского округа.</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Для помощи в приобретении жилья для молодых семей работников бюджетной сферы города и края с 2005 года действует Закон края «О субсидировании </w:t>
      </w:r>
      <w:r>
        <w:rPr>
          <w:rFonts w:cs="Times New Roman CYR" w:ascii="Times New Roman CYR" w:hAnsi="Times New Roman CYR"/>
          <w:spacing w:val="-1"/>
          <w:kern w:val="0"/>
          <w:sz w:val="28"/>
          <w:szCs w:val="28"/>
        </w:rPr>
        <w:t xml:space="preserve">процентной ставки по кредитам, привлеченным работниками бюджетной сферы </w:t>
      </w:r>
      <w:r>
        <w:rPr>
          <w:rFonts w:cs="Times New Roman CYR" w:ascii="Times New Roman CYR" w:hAnsi="Times New Roman CYR"/>
          <w:kern w:val="0"/>
          <w:sz w:val="28"/>
          <w:szCs w:val="28"/>
        </w:rPr>
        <w:t>Красноярского края на улучшение жилищных условий».</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Одним из основных показателей, характеризующих обеспеченность жильем в городе Шарыпово, является размер общей площади жилых помещений в расчете на одного человека.</w:t>
      </w:r>
      <w:r>
        <w:rPr>
          <w:rFonts w:cs="Times New Roman CYR" w:ascii="Times New Roman CYR" w:hAnsi="Times New Roman CYR"/>
          <w:b/>
          <w:bCs/>
          <w:kern w:val="0"/>
          <w:sz w:val="28"/>
          <w:szCs w:val="28"/>
        </w:rPr>
        <w:t xml:space="preserve"> </w:t>
      </w:r>
      <w:r>
        <w:rPr>
          <w:rFonts w:cs="Times New Roman CYR" w:ascii="Times New Roman CYR" w:hAnsi="Times New Roman CYR"/>
          <w:kern w:val="0"/>
          <w:sz w:val="28"/>
          <w:szCs w:val="28"/>
        </w:rPr>
        <w:t>В 2023 году площадь жилых домов, введенных за год, приходящаяся на одного человек населения составила</w:t>
      </w:r>
      <w:r>
        <w:rPr>
          <w:rFonts w:cs="Times New Roman CYR" w:ascii="Times New Roman CYR" w:hAnsi="Times New Roman CYR"/>
          <w:color w:val="C9211E"/>
          <w:kern w:val="0"/>
          <w:sz w:val="28"/>
          <w:szCs w:val="28"/>
        </w:rPr>
        <w:t xml:space="preserve"> </w:t>
      </w:r>
      <w:r>
        <w:rPr>
          <w:rFonts w:cs="Times New Roman CYR" w:ascii="Times New Roman CYR" w:hAnsi="Times New Roman CYR"/>
          <w:kern w:val="0"/>
          <w:sz w:val="28"/>
          <w:szCs w:val="28"/>
        </w:rPr>
        <w:t>0,09</w:t>
      </w:r>
      <w:r>
        <w:rPr>
          <w:rFonts w:cs="Times New Roman CYR" w:ascii="Times New Roman CYR" w:hAnsi="Times New Roman CYR"/>
          <w:color w:val="C9211E"/>
          <w:kern w:val="0"/>
          <w:sz w:val="28"/>
          <w:szCs w:val="28"/>
        </w:rPr>
        <w:t xml:space="preserve"> </w:t>
      </w:r>
      <w:r>
        <w:rPr>
          <w:rFonts w:cs="Times New Roman CYR" w:ascii="Times New Roman CYR" w:hAnsi="Times New Roman CYR"/>
          <w:kern w:val="0"/>
          <w:sz w:val="28"/>
          <w:szCs w:val="28"/>
        </w:rPr>
        <w:t>кв.м. за счет ввода в эксплуатацию жилых домов индивидуальной жилой застройки.</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отчетном году введено в эксплуатацию </w:t>
      </w:r>
      <w:r>
        <w:rPr>
          <w:rFonts w:cs="Times New Roman CYR" w:ascii="Times New Roman CYR" w:hAnsi="Times New Roman CYR"/>
          <w:color w:val="000000"/>
          <w:kern w:val="0"/>
          <w:sz w:val="28"/>
          <w:szCs w:val="28"/>
        </w:rPr>
        <w:t>1</w:t>
      </w:r>
      <w:r>
        <w:rPr>
          <w:rFonts w:cs="Times New Roman CYR" w:ascii="Times New Roman CYR" w:hAnsi="Times New Roman CYR"/>
          <w:kern w:val="0"/>
          <w:sz w:val="28"/>
          <w:szCs w:val="28"/>
        </w:rPr>
        <w:t>- индивидуальный жилой дом.</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Строительство многоквартирных жилых домов в период с 2024 по 2026 года на территории городского округа города Шарыпово не запланировано.</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tbl>
      <w:tblPr>
        <w:tblW w:w="9388" w:type="dxa"/>
        <w:jc w:val="center"/>
        <w:tblInd w:w="0" w:type="dxa"/>
        <w:tblLayout w:type="fixed"/>
        <w:tblCellMar>
          <w:top w:w="0" w:type="dxa"/>
          <w:left w:w="28" w:type="dxa"/>
          <w:bottom w:w="0" w:type="dxa"/>
          <w:right w:w="28" w:type="dxa"/>
        </w:tblCellMar>
      </w:tblPr>
      <w:tblGrid>
        <w:gridCol w:w="3819"/>
        <w:gridCol w:w="1134"/>
        <w:gridCol w:w="1134"/>
        <w:gridCol w:w="1134"/>
        <w:gridCol w:w="1134"/>
        <w:gridCol w:w="1032"/>
      </w:tblGrid>
      <w:tr>
        <w:trPr>
          <w:trHeight w:val="371" w:hRule="atLeast"/>
        </w:trPr>
        <w:tc>
          <w:tcPr>
            <w:tcW w:w="9387" w:type="dxa"/>
            <w:gridSpan w:val="6"/>
            <w:tcBorders/>
            <w:vAlign w:val="center"/>
          </w:tcPr>
          <w:p>
            <w:pPr>
              <w:pStyle w:val="Normal"/>
              <w:widowControl w:val="false"/>
              <w:tabs>
                <w:tab w:val="clear" w:pos="720"/>
              </w:tabs>
              <w:suppressAutoHyphens w:val="true"/>
              <w:bidi w:val="0"/>
              <w:spacing w:before="0" w:after="0"/>
              <w:ind w:firstLine="709" w:left="0" w:right="0"/>
              <w:jc w:val="center"/>
              <w:rPr/>
            </w:pPr>
            <w:r>
              <w:rPr>
                <w:rFonts w:cs="Times New Roman CYR" w:ascii="Times New Roman CYR" w:hAnsi="Times New Roman CYR"/>
                <w:color w:val="000000"/>
                <w:kern w:val="0"/>
                <w:sz w:val="28"/>
                <w:szCs w:val="28"/>
              </w:rPr>
              <w:t>Расчетная таблица к показателю:</w:t>
            </w:r>
          </w:p>
        </w:tc>
      </w:tr>
      <w:tr>
        <w:trPr>
          <w:trHeight w:val="379" w:hRule="atLeast"/>
        </w:trPr>
        <w:tc>
          <w:tcPr>
            <w:tcW w:w="3819"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r>
            <w:bookmarkStart w:id="0" w:name="_Hlk165015703"/>
            <w:bookmarkStart w:id="1" w:name="_Hlk165015703"/>
            <w:bookmarkEnd w:id="1"/>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Наименование показателя и единицы измерения</w:t>
            </w:r>
          </w:p>
        </w:tc>
        <w:tc>
          <w:tcPr>
            <w:tcW w:w="5568"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Значения показателя</w:t>
            </w:r>
          </w:p>
        </w:tc>
      </w:tr>
      <w:tr>
        <w:trPr>
          <w:trHeight w:val="701" w:hRule="atLeast"/>
        </w:trPr>
        <w:tc>
          <w:tcPr>
            <w:tcW w:w="3819"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2022г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Отчет</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2023г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Факт</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2024г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Оценка</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2025г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Прогноз</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2026г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Прогноз</w:t>
            </w:r>
          </w:p>
        </w:tc>
      </w:tr>
      <w:tr>
        <w:trPr>
          <w:trHeight w:val="937" w:hRule="atLeast"/>
        </w:trPr>
        <w:tc>
          <w:tcPr>
            <w:tcW w:w="381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left"/>
              <w:rPr/>
            </w:pPr>
            <w:r>
              <w:rPr>
                <w:rFonts w:cs="Times New Roman CYR" w:ascii="Times New Roman CYR" w:hAnsi="Times New Roman CYR"/>
                <w:color w:val="000000"/>
                <w:kern w:val="0"/>
              </w:rPr>
              <w:t>1. Общая площадь жилых помещений, кв.м (по данным статистического отчета 1-жилфонд строка 01 графа 1)</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1212320</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1232992</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1235681</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1238357</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1241033</w:t>
            </w:r>
          </w:p>
        </w:tc>
      </w:tr>
      <w:tr>
        <w:trPr>
          <w:trHeight w:val="696" w:hRule="atLeast"/>
        </w:trPr>
        <w:tc>
          <w:tcPr>
            <w:tcW w:w="381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left"/>
              <w:rPr/>
            </w:pPr>
            <w:r>
              <w:rPr>
                <w:rFonts w:cs="Times New Roman CYR" w:ascii="Times New Roman CYR" w:hAnsi="Times New Roman CYR"/>
                <w:color w:val="000000"/>
                <w:kern w:val="0"/>
              </w:rPr>
              <w:t>2. Введено жилых помещений за отчетный период, кв.м</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6347</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3879</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r>
      <w:tr>
        <w:trPr>
          <w:trHeight w:val="706" w:hRule="atLeast"/>
        </w:trPr>
        <w:tc>
          <w:tcPr>
            <w:tcW w:w="381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left"/>
              <w:rPr/>
            </w:pPr>
            <w:r>
              <w:rPr>
                <w:rFonts w:cs="Times New Roman CYR" w:ascii="Times New Roman CYR" w:hAnsi="Times New Roman CYR"/>
                <w:color w:val="000000"/>
                <w:kern w:val="0"/>
              </w:rPr>
              <w:t>3. Выбыло жилых помещений за отчетный период, кв.м</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490,00</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1190,00</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500,00</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500,00</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500,00</w:t>
            </w:r>
          </w:p>
        </w:tc>
      </w:tr>
      <w:tr>
        <w:trPr>
          <w:trHeight w:val="985" w:hRule="atLeast"/>
        </w:trPr>
        <w:tc>
          <w:tcPr>
            <w:tcW w:w="381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left"/>
              <w:rPr/>
            </w:pPr>
            <w:r>
              <w:rPr>
                <w:rFonts w:cs="Times New Roman CYR" w:ascii="Times New Roman CYR" w:hAnsi="Times New Roman CYR"/>
                <w:color w:val="000000"/>
                <w:kern w:val="0"/>
              </w:rPr>
              <w:t>4. Численность постоянного населения муниципального, городского округа на конец отчетного года, чел.</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41320</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40881</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40557</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40191</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39786</w:t>
            </w:r>
          </w:p>
        </w:tc>
      </w:tr>
      <w:tr>
        <w:trPr>
          <w:trHeight w:val="1098" w:hRule="atLeast"/>
        </w:trPr>
        <w:tc>
          <w:tcPr>
            <w:tcW w:w="381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left"/>
              <w:rPr/>
            </w:pPr>
            <w:r>
              <w:rPr>
                <w:rFonts w:cs="Times New Roman CYR" w:ascii="Times New Roman CYR" w:hAnsi="Times New Roman CYR"/>
                <w:b/>
                <w:bCs/>
                <w:color w:val="000000"/>
                <w:kern w:val="0"/>
              </w:rPr>
              <w:t>5. Общая площадь жилых помещений, приходящаяся в среднем на одного жителя (стр. 1/ стр.4)</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29,96</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30,16</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30,47</w:t>
            </w:r>
          </w:p>
        </w:tc>
        <w:tc>
          <w:tcPr>
            <w:tcW w:w="113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30,81</w:t>
            </w:r>
          </w:p>
        </w:tc>
        <w:tc>
          <w:tcPr>
            <w:tcW w:w="10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31,19</w:t>
            </w:r>
          </w:p>
        </w:tc>
      </w:tr>
    </w:tbl>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bookmarkStart w:id="2" w:name="_Hlk165015703"/>
      <w:bookmarkStart w:id="3" w:name="_Hlk165015703"/>
      <w:bookmarkEnd w:id="3"/>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2025г. планируется 3176 кв.м. ввод жилья за счет предоставления земельных участков многодетным гражданам.</w:t>
      </w:r>
    </w:p>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24.1. в том числе введенная в действие за один год</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tbl>
      <w:tblPr>
        <w:tblW w:w="9459" w:type="dxa"/>
        <w:jc w:val="left"/>
        <w:tblInd w:w="170" w:type="dxa"/>
        <w:tblLayout w:type="fixed"/>
        <w:tblCellMar>
          <w:top w:w="0" w:type="dxa"/>
          <w:left w:w="28" w:type="dxa"/>
          <w:bottom w:w="0" w:type="dxa"/>
          <w:right w:w="28" w:type="dxa"/>
        </w:tblCellMar>
      </w:tblPr>
      <w:tblGrid>
        <w:gridCol w:w="3118"/>
        <w:gridCol w:w="1298"/>
        <w:gridCol w:w="1252"/>
        <w:gridCol w:w="1303"/>
        <w:gridCol w:w="1195"/>
        <w:gridCol w:w="1243"/>
        <w:gridCol w:w="49"/>
      </w:tblGrid>
      <w:tr>
        <w:trPr>
          <w:trHeight w:val="371" w:hRule="atLeast"/>
        </w:trPr>
        <w:tc>
          <w:tcPr>
            <w:tcW w:w="9458" w:type="dxa"/>
            <w:gridSpan w:val="7"/>
            <w:tcBorders/>
            <w:vAlign w:val="center"/>
          </w:tcPr>
          <w:p>
            <w:pPr>
              <w:pStyle w:val="Normal"/>
              <w:widowControl w:val="false"/>
              <w:tabs>
                <w:tab w:val="clear" w:pos="720"/>
              </w:tabs>
              <w:suppressAutoHyphens w:val="true"/>
              <w:bidi w:val="0"/>
              <w:spacing w:before="0" w:after="0"/>
              <w:ind w:firstLine="709" w:left="0" w:right="0"/>
              <w:jc w:val="center"/>
              <w:rPr/>
            </w:pPr>
            <w:r>
              <w:rPr>
                <w:rFonts w:cs="Times New Roman CYR" w:ascii="Times New Roman CYR" w:hAnsi="Times New Roman CYR"/>
                <w:color w:val="000000"/>
                <w:kern w:val="0"/>
                <w:sz w:val="28"/>
                <w:szCs w:val="28"/>
              </w:rPr>
              <w:t>Расчетная таблица к показателю:</w:t>
            </w:r>
          </w:p>
        </w:tc>
      </w:tr>
      <w:tr>
        <w:trPr/>
        <w:tc>
          <w:tcPr>
            <w:tcW w:w="3118"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Наименование показателя и единицы измерения</w:t>
            </w:r>
          </w:p>
        </w:tc>
        <w:tc>
          <w:tcPr>
            <w:tcW w:w="629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Значения показателя</w:t>
            </w:r>
          </w:p>
        </w:tc>
        <w:tc>
          <w:tcPr>
            <w:tcW w:w="49" w:type="dxa"/>
            <w:vMerge w:val="restart"/>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c>
          <w:tcPr>
            <w:tcW w:w="3118"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2022г. факт</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2023г. факт</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2024г. оценка</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2025г.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прогноз</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t>2026г.</w:t>
            </w:r>
          </w:p>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прогноз</w:t>
            </w:r>
          </w:p>
        </w:tc>
        <w:tc>
          <w:tcPr>
            <w:tcW w:w="49"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rHeight w:val="462" w:hRule="atLeast"/>
        </w:trPr>
        <w:tc>
          <w:tcPr>
            <w:tcW w:w="31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both"/>
              <w:rPr/>
            </w:pPr>
            <w:r>
              <w:rPr>
                <w:rFonts w:cs="Times New Roman CYR" w:ascii="Times New Roman CYR" w:hAnsi="Times New Roman CYR"/>
                <w:color w:val="000000"/>
                <w:kern w:val="0"/>
              </w:rPr>
              <w:t>1. Введено всего, кв.м, в т. ч</w:t>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6347</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3879</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49"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rHeight w:val="628" w:hRule="atLeast"/>
        </w:trPr>
        <w:tc>
          <w:tcPr>
            <w:tcW w:w="31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1.1. индивидуальное жилищное строительство, кв.м</w:t>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6347</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3879</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3176</w:t>
            </w:r>
          </w:p>
        </w:tc>
        <w:tc>
          <w:tcPr>
            <w:tcW w:w="49"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rHeight w:val="341" w:hRule="atLeast"/>
        </w:trPr>
        <w:tc>
          <w:tcPr>
            <w:tcW w:w="31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1.2. многоквартирное строительство, кв.м</w:t>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0,00</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0,00</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0,00</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0,00</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0,00</w:t>
            </w:r>
          </w:p>
        </w:tc>
        <w:tc>
          <w:tcPr>
            <w:tcW w:w="49"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rHeight w:val="278" w:hRule="atLeast"/>
        </w:trPr>
        <w:tc>
          <w:tcPr>
            <w:tcW w:w="31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color w:val="000000"/>
                <w:kern w:val="0"/>
              </w:rPr>
              <w:t>2.</w:t>
            </w:r>
            <w:r>
              <w:rPr>
                <w:rFonts w:cs="Times New Roman CYR" w:ascii="Times New Roman CYR" w:hAnsi="Times New Roman CYR"/>
                <w:color w:val="C00000"/>
                <w:kern w:val="0"/>
              </w:rPr>
              <w:t xml:space="preserve"> </w:t>
            </w:r>
            <w:r>
              <w:rPr>
                <w:rFonts w:cs="Times New Roman CYR" w:ascii="Times New Roman CYR" w:hAnsi="Times New Roman CYR"/>
                <w:b/>
                <w:bCs/>
                <w:color w:val="C00000"/>
                <w:kern w:val="0"/>
              </w:rPr>
              <w:t>Среднегодовая</w:t>
            </w:r>
            <w:r>
              <w:rPr>
                <w:rFonts w:cs="Times New Roman CYR" w:ascii="Times New Roman CYR" w:hAnsi="Times New Roman CYR"/>
                <w:color w:val="000000"/>
                <w:kern w:val="0"/>
              </w:rPr>
              <w:t xml:space="preserve"> численность постоянного населения городского округа, чел.</w:t>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41320</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40881</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40557</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40191</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color w:val="000000"/>
                <w:kern w:val="0"/>
              </w:rPr>
              <w:t>39786</w:t>
            </w:r>
          </w:p>
        </w:tc>
        <w:tc>
          <w:tcPr>
            <w:tcW w:w="49"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sz w:val="24"/>
                <w:szCs w:val="24"/>
              </w:rPr>
            </w:pPr>
            <w:r>
              <w:rPr>
                <w:rFonts w:cs="Times New Roman CYR" w:ascii="Times New Roman CYR" w:hAnsi="Times New Roman CYR"/>
                <w:color w:val="000000"/>
                <w:kern w:val="0"/>
                <w:sz w:val="24"/>
                <w:szCs w:val="24"/>
              </w:rPr>
            </w:r>
          </w:p>
        </w:tc>
      </w:tr>
      <w:tr>
        <w:trPr>
          <w:trHeight w:val="1357" w:hRule="atLeast"/>
        </w:trPr>
        <w:tc>
          <w:tcPr>
            <w:tcW w:w="311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bidi w:val="0"/>
              <w:spacing w:before="0" w:after="0"/>
              <w:ind w:hanging="0" w:left="0" w:right="0"/>
              <w:jc w:val="left"/>
              <w:rPr/>
            </w:pPr>
            <w:r>
              <w:rPr>
                <w:rFonts w:cs="Times New Roman CYR" w:ascii="Times New Roman CYR" w:hAnsi="Times New Roman CYR"/>
                <w:b/>
                <w:bCs/>
                <w:color w:val="000000"/>
                <w:kern w:val="0"/>
              </w:rPr>
              <w:t>3. Общая площадь жилых помещений, введенная в действие за один год, приходящаяся в среднем на одного жителя (стр. 1/ стр.2)</w:t>
            </w:r>
          </w:p>
        </w:tc>
        <w:tc>
          <w:tcPr>
            <w:tcW w:w="129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b/>
                <w:bCs/>
                <w:color w:val="000000"/>
                <w:kern w:val="0"/>
              </w:rPr>
              <w:t>0,15</w:t>
            </w:r>
          </w:p>
        </w:tc>
        <w:tc>
          <w:tcPr>
            <w:tcW w:w="125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b/>
                <w:bCs/>
                <w:color w:val="000000"/>
                <w:kern w:val="0"/>
              </w:rPr>
              <w:t>0,09</w:t>
            </w:r>
          </w:p>
        </w:tc>
        <w:tc>
          <w:tcPr>
            <w:tcW w:w="130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b/>
                <w:bCs/>
                <w:color w:val="000000"/>
                <w:kern w:val="0"/>
              </w:rPr>
              <w:t>0,08</w:t>
            </w:r>
          </w:p>
        </w:tc>
        <w:tc>
          <w:tcPr>
            <w:tcW w:w="11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b/>
                <w:bCs/>
                <w:color w:val="000000"/>
                <w:kern w:val="0"/>
              </w:rPr>
              <w:t>0,08</w:t>
            </w:r>
          </w:p>
        </w:tc>
        <w:tc>
          <w:tcPr>
            <w:tcW w:w="124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20"/>
              </w:tabs>
              <w:suppressAutoHyphens w:val="true"/>
              <w:bidi w:val="0"/>
              <w:spacing w:before="0" w:after="0"/>
              <w:ind w:hanging="0" w:left="0" w:right="0"/>
              <w:jc w:val="center"/>
              <w:rPr/>
            </w:pPr>
            <w:r>
              <w:rPr>
                <w:rFonts w:cs="Times New Roman CYR" w:ascii="Times New Roman CYR" w:hAnsi="Times New Roman CYR"/>
                <w:b/>
                <w:bCs/>
                <w:color w:val="000000"/>
                <w:kern w:val="0"/>
              </w:rPr>
              <w:t>0,08</w:t>
            </w:r>
          </w:p>
        </w:tc>
        <w:tc>
          <w:tcPr>
            <w:tcW w:w="49" w:type="dxa"/>
            <w:tcBorders>
              <w:top w:val="single" w:sz="2" w:space="0" w:color="000000"/>
              <w:left w:val="single" w:sz="2" w:space="0" w:color="000000"/>
              <w:bottom w:val="single" w:sz="2" w:space="0" w:color="000000"/>
              <w:right w:val="single" w:sz="2"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b/>
                <w:bCs/>
                <w:color w:val="000000"/>
                <w:kern w:val="0"/>
                <w:sz w:val="24"/>
                <w:szCs w:val="24"/>
              </w:rPr>
            </w:pPr>
            <w:r>
              <w:rPr>
                <w:rFonts w:cs="Times New Roman CYR" w:ascii="Times New Roman CYR" w:hAnsi="Times New Roman CYR"/>
                <w:b/>
                <w:bCs/>
                <w:color w:val="000000"/>
                <w:kern w:val="0"/>
                <w:sz w:val="24"/>
                <w:szCs w:val="24"/>
              </w:rPr>
            </w:r>
          </w:p>
        </w:tc>
      </w:tr>
    </w:tbl>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2023 году предоставлено в аренду под строительство в соответствии с действующим земельным и градостроительным законодательством 14 земельных участков, площадью 1,948 га.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0,48 = (1,81+ 0 + 0,14) / 40881*10000</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где:</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0,48 – площадь земельных участков, предоставленных для строительства в расчете на 10 тыс. человек населения – всего;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1,81 – площадь земельных участков, предоставленных для жилищного строительства (в том числе индивидуального жилищного строительства), га;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0 – площадь земельных участков, предоставленных для комплексного освоения в целях жилищного строительства, га;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0,14 – площадь земельных участков, предоставленных для строительства объектов, не являющихся объектами жилищного строительства, га;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40881 человек – среднегодовая численность постоянного населения, городского округа.</w:t>
      </w:r>
    </w:p>
    <w:tbl>
      <w:tblPr>
        <w:tblW w:w="9702" w:type="dxa"/>
        <w:jc w:val="left"/>
        <w:tblInd w:w="108" w:type="dxa"/>
        <w:tblLayout w:type="fixed"/>
        <w:tblCellMar>
          <w:top w:w="0" w:type="dxa"/>
          <w:left w:w="108" w:type="dxa"/>
          <w:bottom w:w="0" w:type="dxa"/>
          <w:right w:w="108" w:type="dxa"/>
        </w:tblCellMar>
      </w:tblPr>
      <w:tblGrid>
        <w:gridCol w:w="1385"/>
        <w:gridCol w:w="1386"/>
        <w:gridCol w:w="1386"/>
        <w:gridCol w:w="521"/>
        <w:gridCol w:w="1"/>
        <w:gridCol w:w="864"/>
        <w:gridCol w:w="126"/>
        <w:gridCol w:w="1037"/>
        <w:gridCol w:w="223"/>
        <w:gridCol w:w="681"/>
        <w:gridCol w:w="1023"/>
        <w:gridCol w:w="1043"/>
        <w:gridCol w:w="3"/>
        <w:gridCol w:w="22"/>
      </w:tblGrid>
      <w:tr>
        <w:trPr>
          <w:trHeight w:val="293" w:hRule="atLeast"/>
        </w:trPr>
        <w:tc>
          <w:tcPr>
            <w:tcW w:w="9701" w:type="dxa"/>
            <w:gridSpan w:val="14"/>
            <w:tcBorders/>
            <w:vAlign w:val="center"/>
          </w:tcPr>
          <w:p>
            <w:pPr>
              <w:pStyle w:val="Normal"/>
              <w:widowControl w:val="false"/>
              <w:tabs>
                <w:tab w:val="clear" w:pos="720"/>
              </w:tabs>
              <w:bidi w:val="0"/>
              <w:spacing w:before="0" w:after="0"/>
              <w:ind w:firstLine="709" w:left="0" w:right="0"/>
              <w:jc w:val="center"/>
              <w:rPr>
                <w:rFonts w:ascii="Times New Roman" w:hAnsi="Times New Roman"/>
                <w:color w:val="000000"/>
                <w:kern w:val="0"/>
                <w:sz w:val="28"/>
                <w:szCs w:val="28"/>
              </w:rPr>
            </w:pPr>
            <w:r>
              <w:rPr>
                <w:rFonts w:ascii="Times New Roman" w:hAnsi="Times New Roman"/>
                <w:color w:val="000000"/>
                <w:kern w:val="0"/>
                <w:sz w:val="28"/>
                <w:szCs w:val="28"/>
              </w:rPr>
            </w:r>
          </w:p>
          <w:p>
            <w:pPr>
              <w:pStyle w:val="Normal"/>
              <w:widowControl w:val="false"/>
              <w:tabs>
                <w:tab w:val="clear" w:pos="720"/>
              </w:tabs>
              <w:bidi w:val="0"/>
              <w:spacing w:before="0" w:after="0"/>
              <w:ind w:firstLine="709" w:left="0" w:right="0"/>
              <w:jc w:val="center"/>
              <w:rPr>
                <w:rFonts w:ascii="Times New Roman" w:hAnsi="Times New Roman"/>
                <w:color w:val="000000"/>
                <w:kern w:val="0"/>
                <w:sz w:val="28"/>
                <w:szCs w:val="28"/>
              </w:rPr>
            </w:pPr>
            <w:r>
              <w:rPr>
                <w:rFonts w:ascii="Times New Roman" w:hAnsi="Times New Roman"/>
                <w:color w:val="000000"/>
                <w:kern w:val="0"/>
                <w:sz w:val="28"/>
                <w:szCs w:val="28"/>
              </w:rPr>
            </w:r>
          </w:p>
          <w:p>
            <w:pPr>
              <w:pStyle w:val="Normal"/>
              <w:widowControl w:val="false"/>
              <w:tabs>
                <w:tab w:val="clear" w:pos="720"/>
              </w:tabs>
              <w:bidi w:val="0"/>
              <w:spacing w:before="0" w:after="0"/>
              <w:ind w:firstLine="709" w:left="0" w:right="0"/>
              <w:jc w:val="center"/>
              <w:rPr/>
            </w:pPr>
            <w:r>
              <w:rPr>
                <w:rFonts w:ascii="Times New Roman" w:hAnsi="Times New Roman"/>
                <w:color w:val="000000"/>
                <w:kern w:val="0"/>
                <w:sz w:val="28"/>
                <w:szCs w:val="28"/>
              </w:rPr>
              <w:t>Расчетная таблица к показателям:</w:t>
            </w:r>
          </w:p>
        </w:tc>
      </w:tr>
      <w:tr>
        <w:trPr>
          <w:trHeight w:val="279" w:hRule="atLeast"/>
        </w:trPr>
        <w:tc>
          <w:tcPr>
            <w:tcW w:w="4679"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Наименование показателя и единицы измерения</w:t>
            </w:r>
          </w:p>
        </w:tc>
        <w:tc>
          <w:tcPr>
            <w:tcW w:w="5000" w:type="dxa"/>
            <w:gridSpan w:val="8"/>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Значения показателя</w:t>
            </w:r>
          </w:p>
        </w:tc>
        <w:tc>
          <w:tcPr>
            <w:tcW w:w="2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559" w:hRule="atLeast"/>
        </w:trPr>
        <w:tc>
          <w:tcPr>
            <w:tcW w:w="467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991" w:type="dxa"/>
            <w:gridSpan w:val="3"/>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2022 факт</w:t>
            </w:r>
          </w:p>
        </w:tc>
        <w:tc>
          <w:tcPr>
            <w:tcW w:w="103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2023 факт</w:t>
            </w:r>
          </w:p>
        </w:tc>
        <w:tc>
          <w:tcPr>
            <w:tcW w:w="90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2024 оценка</w:t>
            </w:r>
          </w:p>
        </w:tc>
        <w:tc>
          <w:tcPr>
            <w:tcW w:w="102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2025 прогноз</w:t>
            </w:r>
          </w:p>
        </w:tc>
        <w:tc>
          <w:tcPr>
            <w:tcW w:w="104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2026 прогноз</w:t>
            </w:r>
          </w:p>
        </w:tc>
        <w:tc>
          <w:tcPr>
            <w:tcW w:w="25"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559"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color w:val="000000"/>
                <w:kern w:val="0"/>
              </w:rPr>
              <w:t>1. Площадь земельных участков, предоставленных для строительства, га, всего</w:t>
            </w:r>
          </w:p>
        </w:tc>
        <w:tc>
          <w:tcPr>
            <w:tcW w:w="991" w:type="dxa"/>
            <w:gridSpan w:val="3"/>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0,88</w:t>
            </w:r>
          </w:p>
        </w:tc>
        <w:tc>
          <w:tcPr>
            <w:tcW w:w="1037"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1,95</w:t>
            </w:r>
          </w:p>
        </w:tc>
        <w:tc>
          <w:tcPr>
            <w:tcW w:w="90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1,30</w:t>
            </w:r>
          </w:p>
        </w:tc>
        <w:tc>
          <w:tcPr>
            <w:tcW w:w="102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1,50</w:t>
            </w:r>
          </w:p>
        </w:tc>
        <w:tc>
          <w:tcPr>
            <w:tcW w:w="104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1,70</w:t>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325"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color w:val="000000"/>
                <w:kern w:val="0"/>
              </w:rPr>
              <w:t>1.1. для жилищного строительства (в т.ч. для ИЖС), га</w:t>
            </w:r>
          </w:p>
        </w:tc>
        <w:tc>
          <w:tcPr>
            <w:tcW w:w="991" w:type="dxa"/>
            <w:gridSpan w:val="3"/>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0,06</w:t>
            </w:r>
          </w:p>
        </w:tc>
        <w:tc>
          <w:tcPr>
            <w:tcW w:w="103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1,81</w:t>
            </w:r>
          </w:p>
        </w:tc>
        <w:tc>
          <w:tcPr>
            <w:tcW w:w="90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1,10</w:t>
            </w:r>
          </w:p>
        </w:tc>
        <w:tc>
          <w:tcPr>
            <w:tcW w:w="102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1,20</w:t>
            </w:r>
          </w:p>
        </w:tc>
        <w:tc>
          <w:tcPr>
            <w:tcW w:w="104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1,30</w:t>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559"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color w:val="000000"/>
                <w:kern w:val="0"/>
              </w:rPr>
              <w:t>1.2. для комплексного освоения в целях жилищного строительства, га</w:t>
            </w:r>
          </w:p>
        </w:tc>
        <w:tc>
          <w:tcPr>
            <w:tcW w:w="991" w:type="dxa"/>
            <w:gridSpan w:val="3"/>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103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90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102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104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rFonts w:ascii="Times New Roman" w:hAnsi="Times New Roman"/>
                <w:color w:val="000000"/>
                <w:kern w:val="0"/>
              </w:rPr>
            </w:pPr>
            <w:r>
              <w:rPr>
                <w:rFonts w:ascii="Times New Roman" w:hAnsi="Times New Roman"/>
                <w:color w:val="000000"/>
                <w:kern w:val="0"/>
              </w:rPr>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559" w:hRule="atLeast"/>
        </w:trPr>
        <w:tc>
          <w:tcPr>
            <w:tcW w:w="1385" w:type="dxa"/>
            <w:tcBorders>
              <w:left w:val="single" w:sz="4" w:space="0" w:color="000000"/>
              <w:bottom w:val="single" w:sz="4" w:space="0" w:color="000000"/>
              <w:right w:val="single" w:sz="4" w:space="0" w:color="000000"/>
            </w:tcBorders>
            <w:vAlign w:val="center"/>
          </w:tcPr>
          <w:p>
            <w:pPr>
              <w:pStyle w:val="Normal"/>
              <w:widowControl w:val="false"/>
              <w:bidi w:val="0"/>
              <w:spacing w:before="0" w:after="0"/>
              <w:ind w:firstLine="37" w:left="0" w:right="0"/>
              <w:jc w:val="left"/>
              <w:rPr/>
            </w:pPr>
            <w:r>
              <w:rPr>
                <w:rFonts w:ascii="Times New Roman" w:hAnsi="Times New Roman"/>
                <w:color w:val="000000"/>
                <w:kern w:val="0"/>
              </w:rPr>
              <w:t>1.3. для строительства объектов, не являющихся объектами жилищного строительства, га</w:t>
            </w:r>
          </w:p>
        </w:tc>
        <w:tc>
          <w:tcPr>
            <w:tcW w:w="1386" w:type="dxa"/>
            <w:tcBorders>
              <w:bottom w:val="single" w:sz="4" w:space="0" w:color="000000"/>
              <w:right w:val="single" w:sz="4" w:space="0" w:color="000000"/>
            </w:tcBorders>
            <w:vAlign w:val="center"/>
          </w:tcPr>
          <w:p>
            <w:pPr>
              <w:pStyle w:val="Normal"/>
              <w:widowControl w:val="false"/>
              <w:bidi w:val="0"/>
              <w:spacing w:before="0" w:after="0"/>
              <w:ind w:firstLine="37" w:left="0" w:right="0"/>
              <w:jc w:val="center"/>
              <w:rPr/>
            </w:pPr>
            <w:r>
              <w:rPr>
                <w:rFonts w:ascii="Times New Roman" w:hAnsi="Times New Roman"/>
                <w:color w:val="000000"/>
                <w:kern w:val="0"/>
              </w:rPr>
              <w:t>0,81</w:t>
            </w:r>
          </w:p>
        </w:tc>
        <w:tc>
          <w:tcPr>
            <w:tcW w:w="1386" w:type="dxa"/>
            <w:tcBorders>
              <w:bottom w:val="single" w:sz="4" w:space="0" w:color="000000"/>
              <w:right w:val="single" w:sz="4" w:space="0" w:color="000000"/>
            </w:tcBorders>
            <w:vAlign w:val="center"/>
          </w:tcPr>
          <w:p>
            <w:pPr>
              <w:pStyle w:val="Normal"/>
              <w:widowControl w:val="false"/>
              <w:bidi w:val="0"/>
              <w:spacing w:before="0" w:after="0"/>
              <w:ind w:firstLine="37" w:left="0" w:right="0"/>
              <w:jc w:val="center"/>
              <w:rPr/>
            </w:pPr>
            <w:r>
              <w:rPr>
                <w:rFonts w:ascii="Times New Roman" w:hAnsi="Times New Roman"/>
                <w:color w:val="000000"/>
                <w:kern w:val="0"/>
              </w:rPr>
              <w:t>0,14</w:t>
            </w:r>
          </w:p>
        </w:tc>
        <w:tc>
          <w:tcPr>
            <w:tcW w:w="1386" w:type="dxa"/>
            <w:gridSpan w:val="3"/>
            <w:tcBorders>
              <w:bottom w:val="single" w:sz="4" w:space="0" w:color="000000"/>
              <w:right w:val="single" w:sz="4" w:space="0" w:color="000000"/>
            </w:tcBorders>
            <w:vAlign w:val="center"/>
          </w:tcPr>
          <w:p>
            <w:pPr>
              <w:pStyle w:val="Normal"/>
              <w:widowControl w:val="false"/>
              <w:bidi w:val="0"/>
              <w:spacing w:before="0" w:after="0"/>
              <w:ind w:firstLine="37" w:left="0" w:right="0"/>
              <w:jc w:val="center"/>
              <w:rPr/>
            </w:pPr>
            <w:r>
              <w:rPr>
                <w:rFonts w:ascii="Times New Roman" w:hAnsi="Times New Roman"/>
                <w:color w:val="000000"/>
                <w:kern w:val="0"/>
              </w:rPr>
              <w:t>0,20</w:t>
            </w:r>
          </w:p>
        </w:tc>
        <w:tc>
          <w:tcPr>
            <w:tcW w:w="1386" w:type="dxa"/>
            <w:gridSpan w:val="3"/>
            <w:tcBorders>
              <w:bottom w:val="single" w:sz="4" w:space="0" w:color="000000"/>
              <w:right w:val="single" w:sz="4" w:space="0" w:color="000000"/>
            </w:tcBorders>
            <w:vAlign w:val="center"/>
          </w:tcPr>
          <w:p>
            <w:pPr>
              <w:pStyle w:val="Normal"/>
              <w:widowControl w:val="false"/>
              <w:bidi w:val="0"/>
              <w:spacing w:before="0" w:after="0"/>
              <w:ind w:firstLine="37" w:left="0" w:right="0"/>
              <w:jc w:val="center"/>
              <w:rPr/>
            </w:pPr>
            <w:r>
              <w:rPr>
                <w:rFonts w:ascii="Times New Roman" w:hAnsi="Times New Roman"/>
                <w:color w:val="000000"/>
                <w:kern w:val="0"/>
              </w:rPr>
              <w:t>0,30</w:t>
            </w:r>
          </w:p>
        </w:tc>
        <w:tc>
          <w:tcPr>
            <w:tcW w:w="2772" w:type="dxa"/>
            <w:gridSpan w:val="5"/>
            <w:tcBorders>
              <w:bottom w:val="single" w:sz="4" w:space="0" w:color="000000"/>
              <w:right w:val="single" w:sz="4" w:space="0" w:color="000000"/>
            </w:tcBorders>
            <w:vAlign w:val="center"/>
          </w:tcPr>
          <w:p>
            <w:pPr>
              <w:pStyle w:val="Normal"/>
              <w:widowControl w:val="false"/>
              <w:bidi w:val="0"/>
              <w:spacing w:before="0" w:after="0"/>
              <w:ind w:firstLine="37" w:left="0" w:right="0"/>
              <w:jc w:val="center"/>
              <w:rPr/>
            </w:pPr>
            <w:r>
              <w:rPr>
                <w:rFonts w:ascii="Times New Roman" w:hAnsi="Times New Roman"/>
                <w:color w:val="000000"/>
                <w:kern w:val="0"/>
              </w:rPr>
              <w:t>0,40</w:t>
            </w:r>
          </w:p>
        </w:tc>
      </w:tr>
      <w:tr>
        <w:trPr>
          <w:trHeight w:val="838"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color w:val="000000"/>
                <w:kern w:val="0"/>
              </w:rPr>
              <w:t>2</w:t>
            </w:r>
            <w:r>
              <w:rPr>
                <w:rFonts w:ascii="Times New Roman" w:hAnsi="Times New Roman"/>
                <w:kern w:val="0"/>
              </w:rPr>
              <w:t xml:space="preserve">. </w:t>
            </w:r>
            <w:r>
              <w:rPr>
                <w:rFonts w:ascii="Times New Roman" w:hAnsi="Times New Roman"/>
                <w:b/>
                <w:bCs/>
                <w:kern w:val="0"/>
              </w:rPr>
              <w:t>Среднегодовая</w:t>
            </w:r>
            <w:r>
              <w:rPr>
                <w:rFonts w:ascii="Times New Roman" w:hAnsi="Times New Roman"/>
                <w:color w:val="000000"/>
                <w:kern w:val="0"/>
              </w:rPr>
              <w:t xml:space="preserve"> численность постоянного населения муниципального, городского округа, чел.</w:t>
            </w:r>
          </w:p>
        </w:tc>
        <w:tc>
          <w:tcPr>
            <w:tcW w:w="991" w:type="dxa"/>
            <w:gridSpan w:val="3"/>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41 320</w:t>
            </w:r>
          </w:p>
        </w:tc>
        <w:tc>
          <w:tcPr>
            <w:tcW w:w="103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40 881</w:t>
            </w:r>
          </w:p>
        </w:tc>
        <w:tc>
          <w:tcPr>
            <w:tcW w:w="904" w:type="dxa"/>
            <w:gridSpan w:val="2"/>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40 557</w:t>
            </w:r>
          </w:p>
        </w:tc>
        <w:tc>
          <w:tcPr>
            <w:tcW w:w="102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40 191</w:t>
            </w:r>
          </w:p>
        </w:tc>
        <w:tc>
          <w:tcPr>
            <w:tcW w:w="104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center"/>
              <w:rPr/>
            </w:pPr>
            <w:r>
              <w:rPr>
                <w:rFonts w:ascii="Times New Roman" w:hAnsi="Times New Roman"/>
                <w:color w:val="000000"/>
                <w:kern w:val="0"/>
              </w:rPr>
              <w:t>39 786</w:t>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color w:val="000000"/>
                <w:kern w:val="0"/>
              </w:rPr>
            </w:pPr>
            <w:r>
              <w:rPr>
                <w:rFonts w:cs="Times New Roman CYR" w:ascii="Times New Roman CYR" w:hAnsi="Times New Roman CYR"/>
                <w:color w:val="000000"/>
                <w:kern w:val="0"/>
              </w:rPr>
            </w:r>
          </w:p>
        </w:tc>
      </w:tr>
      <w:tr>
        <w:trPr>
          <w:trHeight w:val="797"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b/>
                <w:bCs/>
                <w:color w:val="000000"/>
                <w:kern w:val="0"/>
              </w:rPr>
              <w:t>3. Площадь земельных участков, предоставленных для строительства, в расчете на 10 тыс. человек населения – всего (стр. 1/стр.2*10000)</w:t>
            </w:r>
          </w:p>
        </w:tc>
        <w:tc>
          <w:tcPr>
            <w:tcW w:w="991" w:type="dxa"/>
            <w:gridSpan w:val="3"/>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0,21</w:t>
            </w:r>
          </w:p>
        </w:tc>
        <w:tc>
          <w:tcPr>
            <w:tcW w:w="1037"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0,48</w:t>
            </w:r>
          </w:p>
        </w:tc>
        <w:tc>
          <w:tcPr>
            <w:tcW w:w="90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0,32</w:t>
            </w:r>
          </w:p>
        </w:tc>
        <w:tc>
          <w:tcPr>
            <w:tcW w:w="102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0,37</w:t>
            </w:r>
          </w:p>
        </w:tc>
        <w:tc>
          <w:tcPr>
            <w:tcW w:w="104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0,43</w:t>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b/>
                <w:bCs/>
                <w:color w:val="000000"/>
                <w:kern w:val="0"/>
              </w:rPr>
            </w:pPr>
            <w:r>
              <w:rPr>
                <w:rFonts w:cs="Times New Roman CYR" w:ascii="Times New Roman CYR" w:hAnsi="Times New Roman CYR"/>
                <w:b/>
                <w:bCs/>
                <w:color w:val="000000"/>
                <w:kern w:val="0"/>
              </w:rPr>
            </w:r>
          </w:p>
        </w:tc>
      </w:tr>
      <w:tr>
        <w:trPr>
          <w:trHeight w:val="1328" w:hRule="atLeast"/>
        </w:trPr>
        <w:tc>
          <w:tcPr>
            <w:tcW w:w="4678" w:type="dxa"/>
            <w:gridSpan w:val="4"/>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37" w:left="0" w:right="0"/>
              <w:jc w:val="left"/>
              <w:rPr/>
            </w:pPr>
            <w:r>
              <w:rPr>
                <w:rFonts w:ascii="Times New Roman" w:hAnsi="Times New Roman"/>
                <w:b/>
                <w:bCs/>
                <w:color w:val="000000"/>
                <w:kern w:val="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991" w:type="dxa"/>
            <w:gridSpan w:val="3"/>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0,02</w:t>
            </w:r>
          </w:p>
        </w:tc>
        <w:tc>
          <w:tcPr>
            <w:tcW w:w="1037"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0,44</w:t>
            </w:r>
          </w:p>
        </w:tc>
        <w:tc>
          <w:tcPr>
            <w:tcW w:w="904" w:type="dxa"/>
            <w:gridSpan w:val="2"/>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0,27</w:t>
            </w:r>
          </w:p>
        </w:tc>
        <w:tc>
          <w:tcPr>
            <w:tcW w:w="102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0,30</w:t>
            </w:r>
          </w:p>
        </w:tc>
        <w:tc>
          <w:tcPr>
            <w:tcW w:w="104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37" w:left="0" w:right="0"/>
              <w:jc w:val="center"/>
              <w:rPr/>
            </w:pPr>
            <w:r>
              <w:rPr>
                <w:rFonts w:ascii="Times New Roman" w:hAnsi="Times New Roman"/>
                <w:b/>
                <w:bCs/>
                <w:color w:val="000000"/>
                <w:kern w:val="0"/>
              </w:rPr>
              <w:t>0,33</w:t>
            </w:r>
          </w:p>
        </w:tc>
        <w:tc>
          <w:tcPr>
            <w:tcW w:w="25" w:type="dxa"/>
            <w:gridSpan w:val="2"/>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56" w:before="0" w:after="0"/>
              <w:ind w:hanging="0" w:left="0" w:right="0"/>
              <w:jc w:val="left"/>
              <w:rPr>
                <w:rFonts w:ascii="Times New Roman CYR" w:hAnsi="Times New Roman CYR" w:cs="Times New Roman CYR"/>
                <w:b/>
                <w:bCs/>
                <w:color w:val="000000"/>
                <w:kern w:val="0"/>
              </w:rPr>
            </w:pPr>
            <w:r>
              <w:rPr>
                <w:rFonts w:cs="Times New Roman CYR" w:ascii="Times New Roman CYR" w:hAnsi="Times New Roman CYR"/>
                <w:b/>
                <w:bCs/>
                <w:color w:val="000000"/>
                <w:kern w:val="0"/>
              </w:rPr>
            </w:r>
          </w:p>
        </w:tc>
      </w:tr>
    </w:tbl>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26.1. объектов жилищного строительства - в течение 3 лет</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tbl>
      <w:tblPr>
        <w:tblW w:w="9639" w:type="dxa"/>
        <w:jc w:val="left"/>
        <w:tblInd w:w="113" w:type="dxa"/>
        <w:tblLayout w:type="fixed"/>
        <w:tblCellMar>
          <w:top w:w="0" w:type="dxa"/>
          <w:left w:w="108" w:type="dxa"/>
          <w:bottom w:w="0" w:type="dxa"/>
          <w:right w:w="108" w:type="dxa"/>
        </w:tblCellMar>
      </w:tblPr>
      <w:tblGrid>
        <w:gridCol w:w="566"/>
        <w:gridCol w:w="1482"/>
        <w:gridCol w:w="1180"/>
        <w:gridCol w:w="2064"/>
        <w:gridCol w:w="1483"/>
        <w:gridCol w:w="1438"/>
        <w:gridCol w:w="1425"/>
      </w:tblGrid>
      <w:tr>
        <w:trPr/>
        <w:tc>
          <w:tcPr>
            <w:tcW w:w="9638"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suppressAutoHyphens w:val="true"/>
              <w:bidi w:val="0"/>
              <w:spacing w:before="0" w:after="0"/>
              <w:ind w:firstLine="709" w:left="0" w:right="0"/>
              <w:jc w:val="both"/>
              <w:rPr/>
            </w:pPr>
            <w:r>
              <w:rPr>
                <w:rFonts w:cs="Times New Roman CYR" w:ascii="Times New Roman CYR" w:hAnsi="Times New Roman CYR"/>
                <w:kern w:val="0"/>
              </w:rPr>
              <w:t xml:space="preserve">26.1. Площадь земельных участков, предоставленных для </w:t>
            </w:r>
            <w:r>
              <w:rPr>
                <w:rFonts w:cs="Times New Roman CYR" w:ascii="Times New Roman CYR" w:hAnsi="Times New Roman CYR"/>
                <w:b/>
                <w:bCs/>
                <w:kern w:val="0"/>
              </w:rPr>
              <w:t>жилищного строительства</w:t>
            </w:r>
            <w:r>
              <w:rPr>
                <w:rFonts w:cs="Times New Roman CYR" w:ascii="Times New Roman CYR" w:hAnsi="Times New Roman CYR"/>
                <w:kern w:val="0"/>
              </w:rPr>
              <w:t xml:space="preserve">, </w:t>
              <w:br/>
              <w:t xml:space="preserve">в отношении которых с даты принятия решения о предоставлении земельного участка </w:t>
              <w:br/>
              <w:t xml:space="preserve">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kern w:val="0"/>
              </w:rPr>
              <w:t>3 лет</w:t>
            </w:r>
            <w:r>
              <w:rPr>
                <w:rFonts w:cs="Times New Roman CYR" w:ascii="Times New Roman CYR" w:hAnsi="Times New Roman CYR"/>
                <w:kern w:val="0"/>
              </w:rPr>
              <w:t>, кв.м.</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both"/>
              <w:rPr/>
            </w:pPr>
            <w:r>
              <w:rPr>
                <w:rFonts w:cs="Times New Roman CYR" w:ascii="Times New Roman CYR" w:hAnsi="Times New Roman CYR"/>
                <w:kern w:val="0"/>
              </w:rPr>
              <w:t xml:space="preserve">№ </w:t>
            </w:r>
            <w:r>
              <w:rPr>
                <w:rFonts w:cs="Times New Roman CYR" w:ascii="Times New Roman CYR" w:hAnsi="Times New Roman CYR"/>
                <w:kern w:val="0"/>
              </w:rPr>
              <w:t>п/п</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50"/>
              <w:jc w:val="left"/>
              <w:rPr/>
            </w:pPr>
            <w:r>
              <w:rPr>
                <w:rFonts w:cs="Times New Roman CYR" w:ascii="Times New Roman CYR" w:hAnsi="Times New Roman CYR"/>
                <w:kern w:val="0"/>
              </w:rPr>
              <w:t>Наименование и строительный адрес объекта</w:t>
            </w:r>
          </w:p>
        </w:tc>
        <w:tc>
          <w:tcPr>
            <w:tcW w:w="11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rPr>
              <w:t>Площадь земельного участка, кв.м.</w:t>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14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color w:val="000000"/>
                <w:kern w:val="0"/>
              </w:rPr>
              <w:t>Дата выдачи разрешения на строительство</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rPr>
              <w:t>Срок действия разрешения на строительство</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rPr>
              <w:t>Общая площадь жилищного строительства на предоставленном земельном участке, кв.м. (проектная)</w:t>
            </w:r>
          </w:p>
        </w:tc>
      </w:tr>
      <w:tr>
        <w:trPr>
          <w:trHeight w:val="267"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pPr>
            <w:r>
              <w:rPr>
                <w:rFonts w:cs="Times New Roman CYR" w:ascii="Times New Roman CYR" w:hAnsi="Times New Roman CYR"/>
                <w:kern w:val="0"/>
              </w:rPr>
              <w:t>1</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1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4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r>
      <w:tr>
        <w:trPr>
          <w:trHeight w:val="275"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rFonts w:ascii="Times New Roman CYR" w:hAnsi="Times New Roman CYR" w:cs="Times New Roman CYR"/>
                <w:kern w:val="0"/>
              </w:rPr>
            </w:pPr>
            <w:r>
              <w:rPr>
                <w:rFonts w:cs="Times New Roman CYR" w:ascii="Times New Roman CYR" w:hAnsi="Times New Roman CYR"/>
                <w:kern w:val="0"/>
              </w:rPr>
            </w:r>
          </w:p>
        </w:tc>
        <w:tc>
          <w:tcPr>
            <w:tcW w:w="11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hanging="0" w:left="0" w:right="0"/>
              <w:jc w:val="both"/>
              <w:rPr/>
            </w:pPr>
            <w:r>
              <w:rPr>
                <w:rFonts w:cs="Times New Roman CYR" w:ascii="Times New Roman CYR" w:hAnsi="Times New Roman CYR"/>
                <w:kern w:val="0"/>
              </w:rPr>
              <w:t>ИТОГО</w:t>
            </w:r>
          </w:p>
        </w:tc>
        <w:tc>
          <w:tcPr>
            <w:tcW w:w="2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pPr>
            <w:r>
              <w:rPr>
                <w:rFonts w:cs="Times New Roman CYR" w:ascii="Times New Roman CYR" w:hAnsi="Times New Roman CYR"/>
                <w:kern w:val="0"/>
              </w:rPr>
              <w:t>0</w:t>
            </w:r>
          </w:p>
        </w:tc>
        <w:tc>
          <w:tcPr>
            <w:tcW w:w="148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pPr>
            <w:r>
              <w:rPr>
                <w:rFonts w:cs="Times New Roman CYR" w:ascii="Times New Roman CYR" w:hAnsi="Times New Roman CYR"/>
                <w:kern w:val="0"/>
              </w:rPr>
              <w:t>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0"/>
              <w:jc w:val="both"/>
              <w:rPr/>
            </w:pPr>
            <w:r>
              <w:rPr>
                <w:rFonts w:cs="Times New Roman CYR" w:ascii="Times New Roman CYR" w:hAnsi="Times New Roman CYR"/>
                <w:kern w:val="0"/>
              </w:rPr>
              <w:t>0</w:t>
            </w:r>
          </w:p>
        </w:tc>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hanging="0" w:left="0" w:right="0"/>
              <w:jc w:val="both"/>
              <w:rPr/>
            </w:pPr>
            <w:r>
              <w:rPr>
                <w:rFonts w:cs="Times New Roman CYR" w:ascii="Times New Roman CYR" w:hAnsi="Times New Roman CYR"/>
                <w:kern w:val="0"/>
              </w:rPr>
              <w:t>ИТОГО</w:t>
            </w:r>
          </w:p>
        </w:tc>
      </w:tr>
    </w:tbl>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отчетном году объекты, которым выдавалось разрешение на строительство, вводились в эксплуатацию раньше, чем по истечению 3-х лет, на 2024-2026 годы ситуация по вводу объектов в эксплуатацию прогнозируется быть стабильной.</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26.2. иных объектов капитального строительства - в течение 5 лет</w:t>
      </w:r>
    </w:p>
    <w:tbl>
      <w:tblPr>
        <w:tblW w:w="9626" w:type="dxa"/>
        <w:jc w:val="left"/>
        <w:tblInd w:w="113" w:type="dxa"/>
        <w:tblLayout w:type="fixed"/>
        <w:tblCellMar>
          <w:top w:w="0" w:type="dxa"/>
          <w:left w:w="108" w:type="dxa"/>
          <w:bottom w:w="0" w:type="dxa"/>
          <w:right w:w="108" w:type="dxa"/>
        </w:tblCellMar>
      </w:tblPr>
      <w:tblGrid>
        <w:gridCol w:w="566"/>
        <w:gridCol w:w="809"/>
        <w:gridCol w:w="648"/>
        <w:gridCol w:w="727"/>
        <w:gridCol w:w="651"/>
        <w:gridCol w:w="724"/>
        <w:gridCol w:w="1375"/>
        <w:gridCol w:w="852"/>
        <w:gridCol w:w="523"/>
        <w:gridCol w:w="1032"/>
        <w:gridCol w:w="1704"/>
        <w:gridCol w:w="14"/>
      </w:tblGrid>
      <w:tr>
        <w:trPr/>
        <w:tc>
          <w:tcPr>
            <w:tcW w:w="9625"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suppressAutoHyphens w:val="true"/>
              <w:bidi w:val="0"/>
              <w:spacing w:before="0" w:after="0"/>
              <w:ind w:firstLine="37" w:left="0" w:right="0"/>
              <w:jc w:val="both"/>
              <w:rPr/>
            </w:pPr>
            <w:r>
              <w:rPr>
                <w:rFonts w:cs="Times New Roman CYR" w:ascii="Times New Roman CYR" w:hAnsi="Times New Roman CYR"/>
                <w:kern w:val="0"/>
                <w:sz w:val="24"/>
                <w:szCs w:val="24"/>
              </w:rPr>
              <w:t xml:space="preserve">26.2. Площадь земельных участков, предоставленных для </w:t>
            </w:r>
            <w:r>
              <w:rPr>
                <w:rFonts w:cs="Times New Roman CYR" w:ascii="Times New Roman CYR" w:hAnsi="Times New Roman CYR"/>
                <w:b/>
                <w:bCs/>
                <w:kern w:val="0"/>
                <w:sz w:val="24"/>
                <w:szCs w:val="24"/>
              </w:rPr>
              <w:t>иных объектов капитального строительства, в отношении</w:t>
            </w:r>
            <w:r>
              <w:rPr>
                <w:rFonts w:cs="Times New Roman CYR" w:ascii="Times New Roman CYR" w:hAnsi="Times New Roman CYR"/>
                <w:kern w:val="0"/>
                <w:sz w:val="24"/>
                <w:szCs w:val="24"/>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kern w:val="0"/>
                <w:sz w:val="24"/>
                <w:szCs w:val="24"/>
              </w:rPr>
              <w:t>5 лет</w:t>
            </w:r>
            <w:r>
              <w:rPr>
                <w:rFonts w:cs="Times New Roman CYR" w:ascii="Times New Roman CYR" w:hAnsi="Times New Roman CYR"/>
                <w:kern w:val="0"/>
                <w:sz w:val="24"/>
                <w:szCs w:val="24"/>
              </w:rPr>
              <w:t>, кв.м.</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both"/>
              <w:rPr/>
            </w:pPr>
            <w:r>
              <w:rPr>
                <w:rFonts w:cs="Times New Roman CYR" w:ascii="Times New Roman CYR" w:hAnsi="Times New Roman CYR"/>
                <w:kern w:val="0"/>
                <w:sz w:val="24"/>
                <w:szCs w:val="24"/>
              </w:rPr>
              <w:t xml:space="preserve">№ </w:t>
            </w:r>
            <w:r>
              <w:rPr>
                <w:rFonts w:cs="Times New Roman CYR" w:ascii="Times New Roman CYR" w:hAnsi="Times New Roman CYR"/>
                <w:kern w:val="0"/>
                <w:sz w:val="24"/>
                <w:szCs w:val="24"/>
              </w:rPr>
              <w:t>п/п</w:t>
            </w:r>
          </w:p>
        </w:tc>
        <w:tc>
          <w:tcPr>
            <w:tcW w:w="14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sz w:val="24"/>
                <w:szCs w:val="24"/>
              </w:rPr>
              <w:t>Наименование и строительный адрес объекта</w:t>
            </w:r>
          </w:p>
        </w:tc>
        <w:tc>
          <w:tcPr>
            <w:tcW w:w="13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both"/>
              <w:rPr/>
            </w:pPr>
            <w:r>
              <w:rPr>
                <w:rFonts w:cs="Times New Roman CYR" w:ascii="Times New Roman CYR" w:hAnsi="Times New Roman CYR"/>
                <w:kern w:val="0"/>
                <w:sz w:val="24"/>
                <w:szCs w:val="24"/>
              </w:rPr>
              <w:t>Площадь земельных участков, кв.м.</w:t>
            </w:r>
          </w:p>
        </w:tc>
        <w:tc>
          <w:tcPr>
            <w:tcW w:w="295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left"/>
              <w:rPr/>
            </w:pPr>
            <w:r>
              <w:rPr>
                <w:rFonts w:cs="Times New Roman CYR" w:ascii="Times New Roman CYR" w:hAnsi="Times New Roman CYR"/>
                <w:kern w:val="0"/>
                <w:sz w:val="24"/>
                <w:szCs w:val="24"/>
              </w:rPr>
              <w:t>Дата принятия решения о предоставлении земельного участка или подписания протокола о результатах торгов (конкурсов, аукционов) с указанием вида использования (собственность, аренда)</w:t>
            </w:r>
          </w:p>
        </w:tc>
        <w:tc>
          <w:tcPr>
            <w:tcW w:w="15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both"/>
              <w:rPr/>
            </w:pPr>
            <w:r>
              <w:rPr>
                <w:rFonts w:cs="Times New Roman CYR" w:ascii="Times New Roman CYR" w:hAnsi="Times New Roman CYR"/>
                <w:kern w:val="0"/>
                <w:sz w:val="24"/>
                <w:szCs w:val="24"/>
              </w:rPr>
              <w:t>Дата выдачи разрешения на строительство</w:t>
            </w:r>
          </w:p>
        </w:tc>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0"/>
              <w:jc w:val="both"/>
              <w:rPr/>
            </w:pPr>
            <w:r>
              <w:rPr>
                <w:rFonts w:cs="Times New Roman CYR" w:ascii="Times New Roman CYR" w:hAnsi="Times New Roman CYR"/>
                <w:kern w:val="0"/>
                <w:sz w:val="24"/>
                <w:szCs w:val="24"/>
              </w:rPr>
              <w:t>Срок действия разрешения на строительство</w:t>
            </w:r>
          </w:p>
        </w:tc>
        <w:tc>
          <w:tcPr>
            <w:tcW w:w="14"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spacing w:lineRule="auto" w:line="256" w:before="0" w:after="0"/>
              <w:ind w:hanging="0" w:left="0" w:right="0"/>
              <w:jc w:val="left"/>
              <w:rPr>
                <w:rFonts w:ascii="Times New Roman CYR" w:hAnsi="Times New Roman CYR" w:cs="Times New Roman CYR"/>
                <w:kern w:val="0"/>
                <w:sz w:val="20"/>
                <w:szCs w:val="20"/>
              </w:rPr>
            </w:pPr>
            <w:r>
              <w:rPr>
                <w:rFonts w:cs="Times New Roman CYR" w:ascii="Times New Roman CYR" w:hAnsi="Times New Roman CYR"/>
                <w:kern w:val="0"/>
                <w:sz w:val="20"/>
                <w:szCs w:val="20"/>
              </w:rPr>
            </w:r>
          </w:p>
        </w:tc>
      </w:tr>
      <w:tr>
        <w:trPr/>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27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r>
      <w:tr>
        <w:trPr/>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35" w:left="0" w:right="0"/>
              <w:jc w:val="both"/>
              <w:rPr/>
            </w:pPr>
            <w:r>
              <w:rPr>
                <w:rFonts w:cs="Times New Roman CYR" w:ascii="Times New Roman CYR" w:hAnsi="Times New Roman CYR"/>
                <w:kern w:val="0"/>
                <w:sz w:val="24"/>
                <w:szCs w:val="24"/>
              </w:rPr>
              <w:t>ИТОГО:</w:t>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pPr>
            <w:r>
              <w:rPr>
                <w:rFonts w:cs="Times New Roman CYR" w:ascii="Times New Roman CYR" w:hAnsi="Times New Roman CYR"/>
                <w:kern w:val="0"/>
                <w:sz w:val="24"/>
                <w:szCs w:val="24"/>
              </w:rPr>
              <w:t>0</w:t>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pPr>
            <w:r>
              <w:rPr>
                <w:rFonts w:cs="Times New Roman CYR" w:ascii="Times New Roman CYR" w:hAnsi="Times New Roman CYR"/>
                <w:kern w:val="0"/>
                <w:sz w:val="24"/>
                <w:szCs w:val="24"/>
              </w:rPr>
              <w:t>0</w:t>
            </w:r>
          </w:p>
        </w:tc>
        <w:tc>
          <w:tcPr>
            <w:tcW w:w="13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pPr>
            <w:r>
              <w:rPr>
                <w:rFonts w:cs="Times New Roman CYR" w:ascii="Times New Roman CYR" w:hAnsi="Times New Roman CYR"/>
                <w:kern w:val="0"/>
                <w:sz w:val="24"/>
                <w:szCs w:val="24"/>
              </w:rPr>
              <w:t>0</w:t>
            </w:r>
          </w:p>
        </w:tc>
        <w:tc>
          <w:tcPr>
            <w:tcW w:w="27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firstLine="709" w:left="0" w:right="0"/>
              <w:jc w:val="both"/>
              <w:rPr/>
            </w:pPr>
            <w:r>
              <w:rPr>
                <w:rFonts w:cs="Times New Roman CYR" w:ascii="Times New Roman CYR" w:hAnsi="Times New Roman CYR"/>
                <w:kern w:val="0"/>
                <w:sz w:val="24"/>
                <w:szCs w:val="24"/>
              </w:rPr>
              <w:t>0</w:t>
            </w:r>
          </w:p>
        </w:tc>
      </w:tr>
    </w:tbl>
    <w:p>
      <w:pPr>
        <w:pStyle w:val="Normal"/>
        <w:widowControl w:val="false"/>
        <w:suppressAutoHyphens w:val="tru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2023г. отсутствуют земельные участки, предоставленные для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kern w:val="0"/>
          <w:sz w:val="28"/>
          <w:szCs w:val="28"/>
        </w:rPr>
        <w:t>5 лет</w:t>
      </w:r>
      <w:r>
        <w:rPr>
          <w:rFonts w:cs="Times New Roman CYR" w:ascii="Times New Roman CYR" w:hAnsi="Times New Roman CYR"/>
          <w:kern w:val="0"/>
          <w:sz w:val="28"/>
          <w:szCs w:val="28"/>
        </w:rPr>
        <w:t>, кв.м.</w:t>
      </w:r>
    </w:p>
    <w:p>
      <w:pPr>
        <w:pStyle w:val="Normal"/>
        <w:widowControl w:val="false"/>
        <w:suppressAutoHyphens w:val="true"/>
        <w:bidi w:val="0"/>
        <w:spacing w:before="0" w:after="0"/>
        <w:ind w:firstLine="709" w:left="0" w:right="0"/>
        <w:jc w:val="both"/>
        <w:rPr>
          <w:rFonts w:cs="Calibri"/>
          <w:kern w:val="0"/>
          <w:sz w:val="28"/>
          <w:szCs w:val="28"/>
        </w:rPr>
      </w:pPr>
      <w:r>
        <w:rPr>
          <w:rFonts w:cs="Calibri"/>
          <w:kern w:val="0"/>
          <w:sz w:val="28"/>
          <w:szCs w:val="28"/>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VII. Жилищно-коммунальное хозяйство</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 состоянию на 01.01.2024 года на территории городского округа 274 многоквартирных дома, в том числе 20 многоквартирных домов, признанных в установленном законодательством порядке аварийными и подлежащими сносу. Доля МКД,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городскому округу составила 90,55 %., в том числе:</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 </w:t>
      </w:r>
      <w:r>
        <w:rPr>
          <w:rFonts w:cs="Times New Roman CYR" w:ascii="Times New Roman CYR" w:hAnsi="Times New Roman CYR"/>
          <w:kern w:val="0"/>
          <w:sz w:val="28"/>
          <w:szCs w:val="28"/>
        </w:rPr>
        <w:t>- 73,09 % граждан, проживающих в 201 МКД, выбрали управление управляющей организацией;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- 17,46 % населения, проживающего в 48 МКД, выбрали и реализуют способ непосредственного управления собственниками жилых помещений.</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Изменение    показателей произошло в связи с увеличением количества многоквартирных домов по причине изменения статуса по 1 аварийному дому блокированной застройки на многоквартирный дом, а так же    в связи тем, что по 6 многоквартирным домам закончился договор управления сроком на 1 год, согласно принятого Администрацией города Шарыпово решения    об определении управляющих организаций    для управления данными многоквартирными домами на основании Постановления Администрации города Шарыпово №№213,214,215,216,217,218 от 25.10.2021 года "Об определении </w:t>
      </w:r>
      <w:r>
        <w:rPr>
          <w:rFonts w:cs="Times New Roman CYR" w:ascii="Times New Roman CYR" w:hAnsi="Times New Roman CYR"/>
          <w:color w:val="000000"/>
          <w:kern w:val="0"/>
          <w:sz w:val="28"/>
          <w:szCs w:val="28"/>
        </w:rPr>
        <w:t>управляющей организации для управления многоквартирными домами,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 не определена управляющая организация для управления таким домом на территории городского округа Шарыпово</w:t>
      </w:r>
      <w:r>
        <w:rPr>
          <w:rFonts w:cs="Times New Roman CYR" w:ascii="Times New Roman CYR" w:hAnsi="Times New Roman CYR"/>
          <w:kern w:val="0"/>
          <w:sz w:val="28"/>
          <w:szCs w:val="28"/>
        </w:rPr>
        <w:t>"</w:t>
      </w:r>
      <w:r>
        <w:rPr>
          <w:rFonts w:cs="Times New Roman CYR" w:ascii="Times New Roman CYR" w:hAnsi="Times New Roman CYR"/>
          <w:color w:val="000000"/>
          <w:kern w:val="0"/>
          <w:sz w:val="28"/>
          <w:szCs w:val="28"/>
        </w:rPr>
        <w:t xml:space="preserve">. На основании п.п.1 п.3 раздела 1 постановления Правительства РФ №75 от 06.02.2006 года </w:t>
      </w:r>
      <w:r>
        <w:rPr>
          <w:rFonts w:cs="Times New Roman CYR" w:ascii="Times New Roman CYR" w:hAnsi="Times New Roman CYR"/>
          <w:kern w:val="0"/>
          <w:sz w:val="28"/>
          <w:szCs w:val="28"/>
        </w:rPr>
        <w:t>"</w:t>
      </w:r>
      <w:r>
        <w:rPr>
          <w:rFonts w:cs="Times New Roman CYR" w:ascii="Times New Roman CYR" w:hAnsi="Times New Roman CYR"/>
          <w:color w:val="000000"/>
          <w:kern w:val="0"/>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cs="Times New Roman CYR" w:ascii="Times New Roman CYR" w:hAnsi="Times New Roman CYR"/>
          <w:kern w:val="0"/>
          <w:sz w:val="28"/>
          <w:szCs w:val="28"/>
        </w:rPr>
        <w:t>"</w:t>
      </w:r>
      <w:r>
        <w:rPr>
          <w:rFonts w:cs="Times New Roman CYR" w:ascii="Times New Roman CYR" w:hAnsi="Times New Roman CYR"/>
          <w:color w:val="000000"/>
          <w:kern w:val="0"/>
          <w:sz w:val="28"/>
          <w:szCs w:val="28"/>
        </w:rPr>
        <w:t xml:space="preserve"> один</w:t>
      </w:r>
      <w:r>
        <w:rPr>
          <w:rFonts w:cs="Times New Roman CYR" w:ascii="Times New Roman CYR" w:hAnsi="Times New Roman CYR"/>
          <w:kern w:val="0"/>
          <w:sz w:val="28"/>
          <w:szCs w:val="28"/>
        </w:rPr>
        <w:t xml:space="preserve"> раз в три месяца проводится открытый конкурс по отбору управляющей организацией для управления многоквартирными домами. Так же с 2023 года ТСЖ "Горячегорск" прекратило свое существование и было исключено из Единого государственного реестра юридических лиц (ЕГРЮЛ).</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 18 аварийным многоквартирным домам, подлежащим сносу количество квартир, в которых менее 30, и в них зарегистрированы, но по причине аварийности домов многие граждане не проживают, способ управления многоквартирным домом собственниками по состоянию на 01.01.2024 года не выбран. Проведение конкурса по выбору управляющих организаций по управлению данными многоквартирными домами нецелесообразно. Кроме того, в данных многоквартирных домах у собственников и нанимателей отсутствует потребность в выборе управляющей организации (в получении ежемесячных услуг по управлению многоквартирным домом).</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организаций коммунального комплекса, осуществляющих 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города Шарыпово составляет 100 %.</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Доля многоквартирных домов, расположенных на земельных участках, в отношении которых осуществлен государственный кадастровый учет – 93,45%.</w:t>
      </w:r>
    </w:p>
    <w:tbl>
      <w:tblPr>
        <w:tblW w:w="9635" w:type="dxa"/>
        <w:jc w:val="left"/>
        <w:tblInd w:w="118" w:type="dxa"/>
        <w:tblLayout w:type="fixed"/>
        <w:tblCellMar>
          <w:top w:w="15" w:type="dxa"/>
          <w:left w:w="108" w:type="dxa"/>
          <w:bottom w:w="15" w:type="dxa"/>
          <w:right w:w="108" w:type="dxa"/>
        </w:tblCellMar>
      </w:tblPr>
      <w:tblGrid>
        <w:gridCol w:w="4672"/>
        <w:gridCol w:w="922"/>
        <w:gridCol w:w="921"/>
        <w:gridCol w:w="967"/>
        <w:gridCol w:w="1076"/>
        <w:gridCol w:w="1076"/>
      </w:tblGrid>
      <w:tr>
        <w:trPr>
          <w:trHeight w:val="469" w:hRule="atLeast"/>
        </w:trPr>
        <w:tc>
          <w:tcPr>
            <w:tcW w:w="46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4245" w:leader="none"/>
              </w:tabs>
              <w:bidi w:val="0"/>
              <w:spacing w:before="0" w:after="0"/>
              <w:ind w:hanging="0" w:left="0" w:right="49"/>
              <w:jc w:val="center"/>
              <w:rPr/>
            </w:pPr>
            <w:r>
              <w:rPr>
                <w:rFonts w:ascii="Times New Roman" w:hAnsi="Times New Roman"/>
                <w:color w:val="000000"/>
                <w:sz w:val="24"/>
                <w:szCs w:val="24"/>
              </w:rPr>
              <w:t>Наименование показателя и единицы измерения</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color w:val="000000"/>
                <w:sz w:val="24"/>
                <w:szCs w:val="24"/>
              </w:rPr>
              <w:t>Значения показателя</w:t>
            </w:r>
          </w:p>
        </w:tc>
      </w:tr>
      <w:tr>
        <w:trPr>
          <w:trHeight w:val="890" w:hRule="atLeast"/>
        </w:trPr>
        <w:tc>
          <w:tcPr>
            <w:tcW w:w="46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left"/>
              <w:rPr>
                <w:rFonts w:ascii="Times New Roman" w:hAnsi="Times New Roman"/>
                <w:color w:val="000000"/>
                <w:sz w:val="24"/>
                <w:szCs w:val="24"/>
              </w:rPr>
            </w:pPr>
            <w:r>
              <w:rPr>
                <w:rFonts w:ascii="Times New Roman" w:hAnsi="Times New Roman"/>
                <w:color w:val="000000"/>
                <w:sz w:val="24"/>
                <w:szCs w:val="24"/>
              </w:rPr>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rFonts w:ascii="Times New Roman" w:hAnsi="Times New Roman"/>
                <w:color w:val="000000"/>
                <w:sz w:val="24"/>
                <w:szCs w:val="24"/>
              </w:rPr>
            </w:pPr>
            <w:r>
              <w:rPr>
                <w:rFonts w:ascii="Times New Roman" w:hAnsi="Times New Roman"/>
                <w:color w:val="000000"/>
                <w:sz w:val="24"/>
                <w:szCs w:val="24"/>
              </w:rPr>
              <w:t>2022</w:t>
            </w:r>
          </w:p>
          <w:p>
            <w:pPr>
              <w:pStyle w:val="Normal"/>
              <w:tabs>
                <w:tab w:val="clear" w:pos="720"/>
              </w:tabs>
              <w:bidi w:val="0"/>
              <w:spacing w:before="0" w:after="0"/>
              <w:ind w:hanging="0" w:left="0" w:right="49"/>
              <w:jc w:val="center"/>
              <w:rPr/>
            </w:pPr>
            <w:r>
              <w:rPr>
                <w:rFonts w:ascii="Times New Roman" w:hAnsi="Times New Roman"/>
                <w:color w:val="000000"/>
                <w:sz w:val="24"/>
                <w:szCs w:val="24"/>
              </w:rPr>
              <w:t>факт</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color w:val="000000"/>
                <w:sz w:val="24"/>
                <w:szCs w:val="24"/>
              </w:rPr>
              <w:t>2023 факт</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color w:val="000000"/>
                <w:sz w:val="24"/>
                <w:szCs w:val="24"/>
              </w:rPr>
              <w:t>2024 оценка</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color w:val="000000"/>
                <w:sz w:val="24"/>
                <w:szCs w:val="24"/>
              </w:rPr>
              <w:t>2025 прогноз</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color w:val="000000"/>
                <w:sz w:val="24"/>
                <w:szCs w:val="24"/>
              </w:rPr>
              <w:t>2026 прогноз</w:t>
            </w:r>
          </w:p>
        </w:tc>
      </w:tr>
      <w:tr>
        <w:trPr>
          <w:trHeight w:val="1119" w:hRule="atLeast"/>
        </w:trPr>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left"/>
              <w:rPr/>
            </w:pPr>
            <w:r>
              <w:rPr>
                <w:rFonts w:ascii="Times New Roman" w:hAnsi="Times New Roman"/>
                <w:color w:val="000000"/>
                <w:sz w:val="24"/>
                <w:szCs w:val="24"/>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257</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257</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258</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259</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260</w:t>
            </w:r>
          </w:p>
        </w:tc>
      </w:tr>
      <w:tr>
        <w:trPr>
          <w:trHeight w:val="1376" w:hRule="atLeast"/>
        </w:trPr>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left"/>
              <w:rPr/>
            </w:pPr>
            <w:r>
              <w:rPr>
                <w:rFonts w:ascii="Times New Roman" w:hAnsi="Times New Roman"/>
                <w:color w:val="000000"/>
                <w:sz w:val="24"/>
                <w:szCs w:val="24"/>
              </w:rPr>
              <w:t xml:space="preserve">2. Общее число многоквартирных домов по состоянию на конец отчетного периода, единиц </w:t>
            </w:r>
            <w:r>
              <w:rPr>
                <w:rFonts w:ascii="Times New Roman" w:hAnsi="Times New Roman"/>
                <w:i/>
                <w:iCs/>
                <w:color w:val="000000"/>
                <w:sz w:val="24"/>
                <w:szCs w:val="24"/>
              </w:rPr>
              <w:t>(по данным статистического отчета 1-жилфонд строка 01 графа 6)</w:t>
            </w:r>
          </w:p>
        </w:tc>
        <w:tc>
          <w:tcPr>
            <w:tcW w:w="92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274</w:t>
            </w:r>
          </w:p>
        </w:tc>
        <w:tc>
          <w:tcPr>
            <w:tcW w:w="92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275</w:t>
            </w:r>
          </w:p>
        </w:tc>
        <w:tc>
          <w:tcPr>
            <w:tcW w:w="9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275</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275</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center"/>
              <w:rPr/>
            </w:pPr>
            <w:r>
              <w:rPr>
                <w:rFonts w:ascii="Times New Roman" w:hAnsi="Times New Roman"/>
                <w:sz w:val="24"/>
                <w:szCs w:val="24"/>
              </w:rPr>
              <w:t>275</w:t>
            </w:r>
          </w:p>
        </w:tc>
      </w:tr>
      <w:tr>
        <w:trPr>
          <w:trHeight w:val="1247" w:hRule="atLeast"/>
        </w:trPr>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before="0" w:after="0"/>
              <w:ind w:hanging="0" w:left="0" w:right="49"/>
              <w:jc w:val="left"/>
              <w:rPr/>
            </w:pPr>
            <w:r>
              <w:rPr>
                <w:rFonts w:ascii="Times New Roman" w:hAnsi="Times New Roman"/>
                <w:b/>
                <w:bCs/>
                <w:color w:val="000000"/>
                <w:sz w:val="24"/>
                <w:szCs w:val="24"/>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22"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tabs>
                <w:tab w:val="clear" w:pos="720"/>
              </w:tabs>
              <w:bidi w:val="0"/>
              <w:spacing w:before="0" w:after="0"/>
              <w:ind w:hanging="0" w:left="0" w:right="49"/>
              <w:jc w:val="center"/>
              <w:rPr/>
            </w:pPr>
            <w:r>
              <w:rPr>
                <w:rFonts w:ascii="Times New Roman" w:hAnsi="Times New Roman"/>
                <w:b/>
                <w:bCs/>
                <w:color w:val="000000"/>
                <w:sz w:val="24"/>
                <w:szCs w:val="24"/>
              </w:rPr>
              <w:t>93,80</w:t>
            </w:r>
          </w:p>
        </w:tc>
        <w:tc>
          <w:tcPr>
            <w:tcW w:w="921"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tabs>
                <w:tab w:val="clear" w:pos="720"/>
              </w:tabs>
              <w:bidi w:val="0"/>
              <w:spacing w:before="0" w:after="0"/>
              <w:ind w:hanging="0" w:left="0" w:right="49"/>
              <w:jc w:val="center"/>
              <w:rPr/>
            </w:pPr>
            <w:r>
              <w:rPr>
                <w:rFonts w:ascii="Times New Roman" w:hAnsi="Times New Roman"/>
                <w:b/>
                <w:bCs/>
                <w:color w:val="000000"/>
                <w:sz w:val="24"/>
                <w:szCs w:val="24"/>
              </w:rPr>
              <w:t>93,45</w:t>
            </w:r>
          </w:p>
        </w:tc>
        <w:tc>
          <w:tcPr>
            <w:tcW w:w="967"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tabs>
                <w:tab w:val="clear" w:pos="720"/>
              </w:tabs>
              <w:bidi w:val="0"/>
              <w:spacing w:before="0" w:after="0"/>
              <w:ind w:hanging="0" w:left="0" w:right="49"/>
              <w:jc w:val="center"/>
              <w:rPr/>
            </w:pPr>
            <w:r>
              <w:rPr>
                <w:rFonts w:ascii="Times New Roman" w:hAnsi="Times New Roman"/>
                <w:b/>
                <w:bCs/>
                <w:color w:val="000000"/>
                <w:sz w:val="24"/>
                <w:szCs w:val="24"/>
              </w:rPr>
              <w:t>93,82</w:t>
            </w:r>
          </w:p>
        </w:tc>
        <w:tc>
          <w:tcPr>
            <w:tcW w:w="1076"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tabs>
                <w:tab w:val="clear" w:pos="720"/>
              </w:tabs>
              <w:bidi w:val="0"/>
              <w:spacing w:before="0" w:after="0"/>
              <w:ind w:hanging="0" w:left="0" w:right="49"/>
              <w:jc w:val="center"/>
              <w:rPr/>
            </w:pPr>
            <w:r>
              <w:rPr>
                <w:rFonts w:ascii="Times New Roman" w:hAnsi="Times New Roman"/>
                <w:b/>
                <w:bCs/>
                <w:color w:val="000000"/>
                <w:sz w:val="24"/>
                <w:szCs w:val="24"/>
              </w:rPr>
              <w:t>94,18</w:t>
            </w:r>
          </w:p>
        </w:tc>
        <w:tc>
          <w:tcPr>
            <w:tcW w:w="1076"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tabs>
                <w:tab w:val="clear" w:pos="720"/>
              </w:tabs>
              <w:bidi w:val="0"/>
              <w:spacing w:before="0" w:after="0"/>
              <w:ind w:hanging="0" w:left="0" w:right="49"/>
              <w:jc w:val="center"/>
              <w:rPr/>
            </w:pPr>
            <w:r>
              <w:rPr>
                <w:rFonts w:ascii="Times New Roman" w:hAnsi="Times New Roman"/>
                <w:b/>
                <w:bCs/>
                <w:color w:val="000000"/>
                <w:sz w:val="24"/>
                <w:szCs w:val="24"/>
              </w:rPr>
              <w:t>94,55</w:t>
            </w:r>
          </w:p>
        </w:tc>
      </w:tr>
    </w:tbl>
    <w:p>
      <w:pPr>
        <w:pStyle w:val="Normal"/>
        <w:bidi w:val="0"/>
        <w:spacing w:before="0" w:after="0"/>
        <w:ind w:firstLine="708" w:left="0" w:right="49"/>
        <w:jc w:val="both"/>
        <w:rPr>
          <w:rFonts w:ascii="Times New Roman CYR" w:hAnsi="Times New Roman CYR" w:cs="Times New Roman CYR"/>
          <w:sz w:val="24"/>
          <w:szCs w:val="24"/>
        </w:rPr>
      </w:pPr>
      <w:r>
        <w:rPr>
          <w:rFonts w:cs="Times New Roman CYR" w:ascii="Times New Roman CYR" w:hAnsi="Times New Roman CYR"/>
          <w:sz w:val="28"/>
          <w:szCs w:val="28"/>
        </w:rPr>
        <w:t>В 2023 году доля многоквартирных домов, расположенных на земельных участках, в отношении которых осуществлен государственный кадастровый учет, не изменилось по сравнению с 2022годом, так как постановка на государственный кадастровый учет земельных участков под многоквартирными домами не проводилась. Кроме того, на основании проведения инвентаризации и актуализации жилищного фонда (ГИМС ЖКХ) на территории муниципального образования «город Шарыпово Красноярского края» число многоквартирных домов составило 275, из них 17 многоквартирных домов, расположены на земельных участках, в отношении которых не осуществлен государственных кадастровый учет</w:t>
      </w:r>
      <w:r>
        <w:rPr>
          <w:rFonts w:cs="Times New Roman CYR" w:ascii="Times New Roman CYR" w:hAnsi="Times New Roman CYR"/>
          <w:sz w:val="24"/>
          <w:szCs w:val="24"/>
        </w:rPr>
        <w:t>.</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Объектом обследования с помощью данного показателя являются граждане, имеющие право на бесплатное предоставление жилых помещений по договору социального найма в муниципальном жилищном фонде.</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(далее – доля населения) в 2023 году составила 0,44 %. </w:t>
      </w:r>
    </w:p>
    <w:p>
      <w:pPr>
        <w:pStyle w:val="Normal"/>
        <w:widowControl w:val="false"/>
        <w:bidi w:val="0"/>
        <w:spacing w:before="0" w:after="0"/>
        <w:ind w:firstLine="709" w:left="0" w:right="49"/>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В прогнозируемом периоде предоставление жилых помещений по договорам социального найма гражданам, нуждающимся в жилых помещениях, планируется за счет освободившихся жилых помещений муниципального жилищного фонда на вторичном рынке. Строительство нового жилья, предназначенного для предоставления по договорам социального найма гражданам, состоящим на учете в качестве нуждающихся в жилых помещениях, на территории города не ведется.</w:t>
      </w:r>
    </w:p>
    <w:p>
      <w:pPr>
        <w:pStyle w:val="Normal"/>
        <w:widowControl w:val="false"/>
        <w:bidi w:val="0"/>
        <w:spacing w:before="0" w:after="0"/>
        <w:ind w:firstLine="709" w:left="0" w:right="49"/>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Одновременно ежегодно ведется работа по проверке обоснованности нахождения граждан на учете, нуждающихся в получении жилья, что ведет к уменьшению численности населения, состоящего на учете в качестве нуждающегося в жилых помещениях по договорам социального найма, соответственно идет увеличение доли населения в прогнозируемом периоде.</w:t>
      </w:r>
    </w:p>
    <w:p>
      <w:pPr>
        <w:pStyle w:val="Normal"/>
        <w:widowControl w:val="false"/>
        <w:bidi w:val="0"/>
        <w:spacing w:before="0" w:after="0"/>
        <w:ind w:firstLine="709" w:left="0" w:right="49"/>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r>
    </w:p>
    <w:p>
      <w:pPr>
        <w:pStyle w:val="Normal"/>
        <w:widowControl w:val="false"/>
        <w:bidi w:val="0"/>
        <w:spacing w:before="0" w:after="0"/>
        <w:ind w:firstLine="709" w:left="0" w:right="49"/>
        <w:jc w:val="center"/>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Расчетная таблица к показателю прилагается.</w:t>
      </w:r>
    </w:p>
    <w:tbl>
      <w:tblPr>
        <w:tblW w:w="9747" w:type="dxa"/>
        <w:jc w:val="left"/>
        <w:tblInd w:w="5" w:type="dxa"/>
        <w:tblLayout w:type="fixed"/>
        <w:tblCellMar>
          <w:top w:w="15" w:type="dxa"/>
          <w:left w:w="108" w:type="dxa"/>
          <w:bottom w:w="15" w:type="dxa"/>
          <w:right w:w="108" w:type="dxa"/>
        </w:tblCellMar>
      </w:tblPr>
      <w:tblGrid>
        <w:gridCol w:w="5210"/>
        <w:gridCol w:w="989"/>
        <w:gridCol w:w="845"/>
        <w:gridCol w:w="863"/>
        <w:gridCol w:w="959"/>
        <w:gridCol w:w="880"/>
      </w:tblGrid>
      <w:tr>
        <w:trPr>
          <w:trHeight w:val="300" w:hRule="atLeast"/>
        </w:trPr>
        <w:tc>
          <w:tcPr>
            <w:tcW w:w="52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Наименование показателя и единицы измерения</w:t>
            </w:r>
          </w:p>
        </w:tc>
        <w:tc>
          <w:tcPr>
            <w:tcW w:w="4536" w:type="dxa"/>
            <w:gridSpan w:val="5"/>
            <w:tcBorders>
              <w:top w:val="single" w:sz="4" w:space="0" w:color="000000"/>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Значения показателя</w:t>
            </w:r>
          </w:p>
        </w:tc>
      </w:tr>
      <w:tr>
        <w:trPr>
          <w:trHeight w:val="600" w:hRule="atLeast"/>
        </w:trPr>
        <w:tc>
          <w:tcPr>
            <w:tcW w:w="5210" w:type="dxa"/>
            <w:vMerge w:val="continu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98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2022 факт</w:t>
            </w:r>
          </w:p>
        </w:tc>
        <w:tc>
          <w:tcPr>
            <w:tcW w:w="845"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2023 факт</w:t>
            </w:r>
          </w:p>
        </w:tc>
        <w:tc>
          <w:tcPr>
            <w:tcW w:w="863"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2024 оценка</w:t>
            </w:r>
          </w:p>
        </w:tc>
        <w:tc>
          <w:tcPr>
            <w:tcW w:w="95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2025 прогноз</w:t>
            </w:r>
          </w:p>
        </w:tc>
        <w:tc>
          <w:tcPr>
            <w:tcW w:w="880"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2026 прогноз</w:t>
            </w:r>
          </w:p>
        </w:tc>
      </w:tr>
      <w:tr>
        <w:trPr>
          <w:trHeight w:val="1388" w:hRule="atLeast"/>
        </w:trPr>
        <w:tc>
          <w:tcPr>
            <w:tcW w:w="5210" w:type="dxa"/>
            <w:tcBorders>
              <w:left w:val="single" w:sz="4" w:space="0" w:color="000000"/>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both"/>
              <w:rPr/>
            </w:pPr>
            <w:r>
              <w:rPr>
                <w:rFonts w:cs="Times New Roman CYR" w:ascii="Times New Roman CYR" w:hAnsi="Times New Roman CYR"/>
                <w:color w:val="000000"/>
                <w:kern w:val="0"/>
              </w:rPr>
              <w:t xml:space="preserve">1. Численность населения (семей), получившего жилые помещения и улучшившего жилищные условия </w:t>
            </w:r>
            <w:r>
              <w:rPr>
                <w:rFonts w:cs="Times New Roman CYR" w:ascii="Times New Roman CYR" w:hAnsi="Times New Roman CYR"/>
                <w:b/>
                <w:bCs/>
                <w:color w:val="000000"/>
                <w:kern w:val="0"/>
              </w:rPr>
              <w:t>по договору социального найма в отчетном году</w:t>
            </w:r>
            <w:r>
              <w:rPr>
                <w:rFonts w:cs="Times New Roman CYR" w:ascii="Times New Roman CYR" w:hAnsi="Times New Roman CYR"/>
                <w:color w:val="000000"/>
                <w:kern w:val="0"/>
              </w:rPr>
              <w:t>, чел.</w:t>
            </w:r>
            <w:r>
              <w:rPr>
                <w:rFonts w:cs="Times New Roman CYR" w:ascii="Times New Roman CYR" w:hAnsi="Times New Roman CYR"/>
                <w:i/>
                <w:iCs/>
                <w:color w:val="000000"/>
                <w:kern w:val="0"/>
              </w:rPr>
              <w:t xml:space="preserve"> (по данным статистического отчета 4-жилфонд строка 04 графа 3)</w:t>
            </w:r>
          </w:p>
        </w:tc>
        <w:tc>
          <w:tcPr>
            <w:tcW w:w="98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1</w:t>
            </w:r>
          </w:p>
        </w:tc>
        <w:tc>
          <w:tcPr>
            <w:tcW w:w="845"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w:t>
            </w:r>
          </w:p>
        </w:tc>
        <w:tc>
          <w:tcPr>
            <w:tcW w:w="863"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w:t>
            </w:r>
          </w:p>
        </w:tc>
        <w:tc>
          <w:tcPr>
            <w:tcW w:w="95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w:t>
            </w:r>
          </w:p>
        </w:tc>
        <w:tc>
          <w:tcPr>
            <w:tcW w:w="880"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w:t>
            </w:r>
          </w:p>
        </w:tc>
      </w:tr>
      <w:tr>
        <w:trPr>
          <w:trHeight w:val="1012" w:hRule="atLeast"/>
        </w:trPr>
        <w:tc>
          <w:tcPr>
            <w:tcW w:w="5210" w:type="dxa"/>
            <w:tcBorders>
              <w:left w:val="single" w:sz="4" w:space="0" w:color="000000"/>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both"/>
              <w:rPr/>
            </w:pPr>
            <w:r>
              <w:rPr>
                <w:rFonts w:cs="Times New Roman CYR" w:ascii="Times New Roman CYR" w:hAnsi="Times New Roman CYR"/>
                <w:color w:val="000000"/>
                <w:kern w:val="0"/>
              </w:rPr>
              <w:t xml:space="preserve">2. Численность населения (семей), состоящего на учете в качестве нуждающегося в жилых помещениях </w:t>
            </w:r>
            <w:r>
              <w:rPr>
                <w:rFonts w:cs="Times New Roman CYR" w:ascii="Times New Roman CYR" w:hAnsi="Times New Roman CYR"/>
                <w:b/>
                <w:bCs/>
                <w:color w:val="000000"/>
                <w:kern w:val="0"/>
              </w:rPr>
              <w:t>по договорам социального найма на конец прошлого года</w:t>
            </w:r>
            <w:r>
              <w:rPr>
                <w:rFonts w:cs="Times New Roman CYR" w:ascii="Times New Roman CYR" w:hAnsi="Times New Roman CYR"/>
                <w:color w:val="000000"/>
                <w:kern w:val="0"/>
              </w:rPr>
              <w:t>, чел. *</w:t>
            </w:r>
          </w:p>
        </w:tc>
        <w:tc>
          <w:tcPr>
            <w:tcW w:w="98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516</w:t>
            </w:r>
          </w:p>
        </w:tc>
        <w:tc>
          <w:tcPr>
            <w:tcW w:w="845"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451</w:t>
            </w:r>
          </w:p>
        </w:tc>
        <w:tc>
          <w:tcPr>
            <w:tcW w:w="863"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421</w:t>
            </w:r>
          </w:p>
        </w:tc>
        <w:tc>
          <w:tcPr>
            <w:tcW w:w="959"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389</w:t>
            </w:r>
          </w:p>
        </w:tc>
        <w:tc>
          <w:tcPr>
            <w:tcW w:w="880" w:type="dxa"/>
            <w:tcBorders>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357</w:t>
            </w:r>
          </w:p>
        </w:tc>
      </w:tr>
      <w:tr>
        <w:trPr>
          <w:trHeight w:val="1224" w:hRule="atLeast"/>
        </w:trPr>
        <w:tc>
          <w:tcPr>
            <w:tcW w:w="5210" w:type="dxa"/>
            <w:tcBorders>
              <w:left w:val="single" w:sz="4" w:space="0" w:color="000000"/>
              <w:bottom w:val="single" w:sz="4" w:space="0" w:color="000000"/>
              <w:right w:val="single" w:sz="4" w:space="0" w:color="000000"/>
            </w:tcBorders>
            <w:tcMar>
              <w:top w:w="0" w:type="dxa"/>
              <w:bottom w:w="0" w:type="dxa"/>
            </w:tcMar>
            <w:vAlign w:val="center"/>
          </w:tcPr>
          <w:p>
            <w:pPr>
              <w:pStyle w:val="Normal"/>
              <w:widowControl w:val="false"/>
              <w:tabs>
                <w:tab w:val="clear" w:pos="720"/>
              </w:tabs>
              <w:bidi w:val="0"/>
              <w:spacing w:before="0" w:after="0"/>
              <w:ind w:hanging="0" w:left="0" w:right="49"/>
              <w:jc w:val="both"/>
              <w:rPr/>
            </w:pPr>
            <w:r>
              <w:rPr>
                <w:rFonts w:cs="Times New Roman CYR" w:ascii="Times New Roman CYR" w:hAnsi="Times New Roman CYR"/>
                <w:b/>
                <w:bCs/>
                <w:color w:val="000000"/>
                <w:kern w:val="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
        </w:tc>
        <w:tc>
          <w:tcPr>
            <w:tcW w:w="989" w:type="dxa"/>
            <w:tcBorders>
              <w:bottom w:val="single" w:sz="4" w:space="0" w:color="000000"/>
              <w:right w:val="single" w:sz="4" w:space="0" w:color="000000"/>
            </w:tcBorders>
            <w:shd w:color="auto" w:fill="D9D9D9"/>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color w:val="000000"/>
                <w:kern w:val="0"/>
              </w:rPr>
              <w:t>0,19</w:t>
            </w:r>
          </w:p>
        </w:tc>
        <w:tc>
          <w:tcPr>
            <w:tcW w:w="845" w:type="dxa"/>
            <w:tcBorders>
              <w:bottom w:val="single" w:sz="4" w:space="0" w:color="000000"/>
              <w:right w:val="single" w:sz="4" w:space="0" w:color="000000"/>
            </w:tcBorders>
            <w:shd w:color="auto" w:fill="D9D9D9"/>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color w:val="000000"/>
                <w:kern w:val="0"/>
              </w:rPr>
              <w:t>0,44</w:t>
            </w:r>
          </w:p>
        </w:tc>
        <w:tc>
          <w:tcPr>
            <w:tcW w:w="863" w:type="dxa"/>
            <w:tcBorders>
              <w:bottom w:val="single" w:sz="4" w:space="0" w:color="000000"/>
              <w:right w:val="single" w:sz="4" w:space="0" w:color="000000"/>
            </w:tcBorders>
            <w:shd w:color="auto" w:fill="D9D9D9"/>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color w:val="000000"/>
                <w:kern w:val="0"/>
              </w:rPr>
              <w:t>0,48</w:t>
            </w:r>
          </w:p>
        </w:tc>
        <w:tc>
          <w:tcPr>
            <w:tcW w:w="959" w:type="dxa"/>
            <w:tcBorders>
              <w:bottom w:val="single" w:sz="4" w:space="0" w:color="000000"/>
              <w:right w:val="single" w:sz="4" w:space="0" w:color="000000"/>
            </w:tcBorders>
            <w:shd w:color="auto" w:fill="D9D9D9"/>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color w:val="000000"/>
                <w:kern w:val="0"/>
              </w:rPr>
              <w:t>0,51</w:t>
            </w:r>
          </w:p>
        </w:tc>
        <w:tc>
          <w:tcPr>
            <w:tcW w:w="880" w:type="dxa"/>
            <w:tcBorders>
              <w:bottom w:val="single" w:sz="4" w:space="0" w:color="000000"/>
              <w:right w:val="single" w:sz="4" w:space="0" w:color="000000"/>
            </w:tcBorders>
            <w:shd w:color="auto" w:fill="D9D9D9"/>
            <w:tcMar>
              <w:top w:w="0" w:type="dxa"/>
              <w:bottom w:w="0" w:type="dxa"/>
            </w:tcMar>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color w:val="000000"/>
                <w:kern w:val="0"/>
              </w:rPr>
              <w:t>0,56</w:t>
            </w:r>
          </w:p>
        </w:tc>
      </w:tr>
    </w:tbl>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VIII. Организация муниципального управления</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bl>
      <w:tblPr>
        <w:tblW w:w="9766" w:type="dxa"/>
        <w:jc w:val="center"/>
        <w:tblInd w:w="0" w:type="dxa"/>
        <w:tblLayout w:type="fixed"/>
        <w:tblCellMar>
          <w:top w:w="0" w:type="dxa"/>
          <w:left w:w="108" w:type="dxa"/>
          <w:bottom w:w="0" w:type="dxa"/>
          <w:right w:w="108" w:type="dxa"/>
        </w:tblCellMar>
      </w:tblPr>
      <w:tblGrid>
        <w:gridCol w:w="1540"/>
        <w:gridCol w:w="1371"/>
        <w:gridCol w:w="1371"/>
        <w:gridCol w:w="1370"/>
        <w:gridCol w:w="1371"/>
        <w:gridCol w:w="1371"/>
        <w:gridCol w:w="1371"/>
      </w:tblGrid>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both"/>
              <w:rPr>
                <w:rFonts w:ascii="Times New Roman CYR" w:hAnsi="Times New Roman CYR" w:cs="Times New Roman CYR"/>
                <w:kern w:val="0"/>
              </w:rPr>
            </w:pPr>
            <w:r>
              <w:rPr>
                <w:rFonts w:cs="Times New Roman CYR" w:ascii="Times New Roman CYR" w:hAnsi="Times New Roman CYR"/>
                <w:kern w:val="0"/>
              </w:rPr>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2021</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2023</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2024 оценка</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2025 прогноз</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2026 прогноз</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both"/>
              <w:rPr/>
            </w:pPr>
            <w:r>
              <w:rPr>
                <w:rFonts w:cs="Times New Roman CYR" w:ascii="Times New Roman CYR" w:hAnsi="Times New Roman CYR"/>
                <w:kern w:val="0"/>
              </w:rPr>
              <w:t>Доля налоговых и неналоговых доходов (%)</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32,18</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28,83</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24,98</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29,92</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35,29</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36,37</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pPr>
            <w:r>
              <w:rPr>
                <w:rFonts w:cs="Times New Roman CYR" w:ascii="Times New Roman CYR" w:hAnsi="Times New Roman CYR"/>
                <w:kern w:val="0"/>
              </w:rPr>
              <w:t>Налоговые и неналоговые, тыс. рублей</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265 544,38</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315 505,61</w:t>
            </w:r>
          </w:p>
        </w:tc>
        <w:tc>
          <w:tcPr>
            <w:tcW w:w="137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295 519,24</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350 130,75</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363 577,30</w:t>
            </w:r>
          </w:p>
        </w:tc>
        <w:tc>
          <w:tcPr>
            <w:tcW w:w="13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center"/>
              <w:rPr>
                <w:rFonts w:ascii="Times New Roman CYR" w:hAnsi="Times New Roman CYR" w:cs="Times New Roman CYR"/>
                <w:kern w:val="0"/>
              </w:rPr>
            </w:pPr>
            <w:r>
              <w:rPr>
                <w:rFonts w:cs="Times New Roman CYR" w:ascii="Times New Roman CYR" w:hAnsi="Times New Roman CYR"/>
                <w:kern w:val="0"/>
              </w:rPr>
            </w:r>
          </w:p>
          <w:p>
            <w:pPr>
              <w:pStyle w:val="Normal"/>
              <w:widowControl w:val="false"/>
              <w:bidi w:val="0"/>
              <w:spacing w:before="0" w:after="0"/>
              <w:ind w:hanging="0" w:left="0" w:right="49"/>
              <w:jc w:val="center"/>
              <w:rPr/>
            </w:pPr>
            <w:r>
              <w:rPr>
                <w:rFonts w:cs="Times New Roman CYR" w:ascii="Times New Roman CYR" w:hAnsi="Times New Roman CYR"/>
                <w:kern w:val="0"/>
              </w:rPr>
              <w:t>379 724,92</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49"/>
              <w:jc w:val="both"/>
              <w:rPr>
                <w:rFonts w:ascii="Times New Roman CYR" w:hAnsi="Times New Roman CYR" w:cs="Times New Roman CYR"/>
                <w:kern w:val="0"/>
              </w:rPr>
            </w:pPr>
            <w:r>
              <w:rPr>
                <w:rFonts w:cs="Times New Roman CYR" w:ascii="Times New Roman CYR" w:hAnsi="Times New Roman CYR"/>
                <w:kern w:val="0"/>
              </w:rPr>
              <w:t xml:space="preserve">Дотации, </w:t>
            </w:r>
          </w:p>
          <w:p>
            <w:pPr>
              <w:pStyle w:val="Normal"/>
              <w:widowControl w:val="false"/>
              <w:tabs>
                <w:tab w:val="clear" w:pos="720"/>
              </w:tabs>
              <w:bidi w:val="0"/>
              <w:spacing w:before="0" w:after="0"/>
              <w:ind w:hanging="0" w:left="0" w:right="49"/>
              <w:jc w:val="both"/>
              <w:rPr/>
            </w:pPr>
            <w:r>
              <w:rPr>
                <w:rFonts w:cs="Times New Roman CYR" w:ascii="Times New Roman CYR" w:hAnsi="Times New Roman CYR"/>
                <w:kern w:val="0"/>
              </w:rPr>
              <w:t>тыс. рублей</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403 989,10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515 814,40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572 617,70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614 481,70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481 525,50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481 525,50</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pPr>
            <w:r>
              <w:rPr>
                <w:rFonts w:cs="Times New Roman CYR" w:ascii="Times New Roman CYR" w:hAnsi="Times New Roman CYR"/>
                <w:kern w:val="0"/>
              </w:rPr>
              <w:t>Субсидии, тыс. рублей</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129 355,03</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209 052,46</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185 158,76</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166 616,72</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74 915,75</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63 711,61</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pPr>
            <w:r>
              <w:rPr>
                <w:rFonts w:cs="Times New Roman CYR" w:ascii="Times New Roman CYR" w:hAnsi="Times New Roman CYR"/>
                <w:kern w:val="0"/>
              </w:rPr>
              <w:t>Субвенции, тыс. рублей</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573 392,18</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684 966,13</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771 692,80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821 888,70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778 905,90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778 353,20</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pPr>
            <w:r>
              <w:rPr>
                <w:rFonts w:cs="Times New Roman CYR" w:ascii="Times New Roman CYR" w:hAnsi="Times New Roman CYR"/>
                <w:kern w:val="0"/>
              </w:rPr>
              <w:t>Иные межбюджетные трансферты, тыс. рублей</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26 380,23</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54 044,53</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132 401,18</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39 140,03</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30 170,29</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30 728,42</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rFonts w:ascii="Times New Roman CYR" w:hAnsi="Times New Roman CYR" w:cs="Times New Roman CYR"/>
                <w:kern w:val="0"/>
              </w:rPr>
            </w:pPr>
            <w:r>
              <w:rPr>
                <w:rFonts w:cs="Times New Roman CYR" w:ascii="Times New Roman CYR" w:hAnsi="Times New Roman CYR"/>
                <w:kern w:val="0"/>
              </w:rPr>
              <w:t xml:space="preserve">Собственные доходы, </w:t>
            </w:r>
          </w:p>
          <w:p>
            <w:pPr>
              <w:pStyle w:val="Normal"/>
              <w:widowControl w:val="false"/>
              <w:bidi w:val="0"/>
              <w:spacing w:before="0" w:after="0"/>
              <w:ind w:hanging="0" w:left="0" w:right="49"/>
              <w:jc w:val="both"/>
              <w:rPr/>
            </w:pPr>
            <w:r>
              <w:rPr>
                <w:rFonts w:cs="Times New Roman CYR" w:ascii="Times New Roman CYR" w:hAnsi="Times New Roman CYR"/>
                <w:kern w:val="0"/>
              </w:rPr>
              <w:t>тыс. рублей</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825 268,74</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1 094 417,0</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1 185 696,88</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1 170 369,20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1 030 353,74</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1 044 082,43</w:t>
            </w:r>
          </w:p>
        </w:tc>
      </w:tr>
      <w:tr>
        <w:trPr/>
        <w:tc>
          <w:tcPr>
            <w:tcW w:w="154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49"/>
              <w:jc w:val="both"/>
              <w:rPr>
                <w:rFonts w:ascii="Times New Roman CYR" w:hAnsi="Times New Roman CYR" w:cs="Times New Roman CYR"/>
                <w:kern w:val="0"/>
              </w:rPr>
            </w:pPr>
            <w:r>
              <w:rPr>
                <w:rFonts w:cs="Times New Roman CYR" w:ascii="Times New Roman CYR" w:hAnsi="Times New Roman CYR"/>
                <w:kern w:val="0"/>
                <w:u w:val="single"/>
              </w:rPr>
              <w:t>Всего</w:t>
            </w:r>
            <w:r>
              <w:rPr>
                <w:rFonts w:cs="Times New Roman CYR" w:ascii="Times New Roman CYR" w:hAnsi="Times New Roman CYR"/>
                <w:kern w:val="0"/>
              </w:rPr>
              <w:t xml:space="preserve">, </w:t>
            </w:r>
          </w:p>
          <w:p>
            <w:pPr>
              <w:pStyle w:val="Normal"/>
              <w:widowControl w:val="false"/>
              <w:bidi w:val="0"/>
              <w:spacing w:before="0" w:after="0"/>
              <w:ind w:hanging="0" w:left="0" w:right="49"/>
              <w:jc w:val="both"/>
              <w:rPr/>
            </w:pPr>
            <w:r>
              <w:rPr>
                <w:rFonts w:cs="Times New Roman CYR" w:ascii="Times New Roman CYR" w:hAnsi="Times New Roman CYR"/>
                <w:kern w:val="0"/>
              </w:rPr>
              <w:t>тыс. рублей</w:t>
            </w:r>
            <w:r>
              <w:rPr>
                <w:rFonts w:cs="Times New Roman CYR" w:ascii="Times New Roman CYR" w:hAnsi="Times New Roman CYR"/>
                <w:kern w:val="0"/>
                <w:u w:val="single"/>
              </w:rPr>
              <w:t xml:space="preserve"> </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1 398 660,92</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1 779 383,12</w:t>
            </w:r>
          </w:p>
        </w:tc>
        <w:tc>
          <w:tcPr>
            <w:tcW w:w="13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1 954 847,41</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1 992 257,90</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1 809 259,64</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49"/>
              <w:jc w:val="center"/>
              <w:rPr/>
            </w:pPr>
            <w:r>
              <w:rPr>
                <w:rFonts w:cs="Times New Roman CYR" w:ascii="Times New Roman CYR" w:hAnsi="Times New Roman CYR"/>
                <w:kern w:val="0"/>
              </w:rPr>
              <w:t>1 822 435,63</w:t>
            </w:r>
          </w:p>
        </w:tc>
      </w:tr>
    </w:tbl>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На снижение доли налоговых и неналоговых доходов в общем объеме собственных доходов в 2023 году по отношению к 2022 году повлияло увеличение средств краевого бюджета полученных в виде дотаций бюджетам муниципальных образований края на поддержку мер по обеспечению сбалансированности бюджетов муниципальных образований края, а также иного межбюджетного трансферта бюджетам муниципальных образований Красноярского края - победителей Всероссийского конкурса лучших проектов создания комфортной городской среды на реализацию комплекса мероприятий по благоустройству. Отклонение доли составило на 3,91%. </w:t>
      </w:r>
    </w:p>
    <w:p>
      <w:pPr>
        <w:pStyle w:val="Normal"/>
        <w:widowControl w:val="false"/>
        <w:tabs>
          <w:tab w:val="clear" w:pos="720"/>
          <w:tab w:val="right" w:pos="993" w:leader="none"/>
        </w:tabs>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В 2024 году по сравнению с 2023 годом прогнозируется рост доли налоговых и неналоговых доходов в общем объеме собственных доходов. Также следует отметить, что происходит снижение общего объема собственных доходов на 15 327,68 тыс. рублей, это обусловлено тем, что в первоначальном бюджете не учтены в полном объеме средства межбюджетных трансфертов из бюджета других уровней, так как вышеуказанные средства поступают в течении года. </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Рост доли налоговых и неналоговых доходов в общем объеме собственных доходов в 2024 году по сравнению с 2023 годом прогнозируется с увеличением общего объема налоговых и неналоговых доходов на сумму 54 611,51 тыс. рублей. </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2025 по сравнению с 2024 годом доля налоговых и неналоговых прогнозируется также с увеличением на 13 446,55 тыс. рублей.</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2026 году по сравнению с 2025 годом рост доли налоговых и неналоговых доходов в общем объеме собственных доходов увеличится на сумму 16 147,62 тыс. рублей.</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Рост доли налоговых и неналоговых доходов в общем объеме собственных доходов в 2023-2026 годах обусловлен ростом налогооблагаемой базы, в основном за счет роста заработной платы, так как НДФЛ занимает белее пятидесяти процентов в общем объеме налоговых и неналоговых поступлений.</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kern w:val="0"/>
          <w:sz w:val="28"/>
          <w:szCs w:val="28"/>
        </w:rPr>
        <w:t>На территории городского округа отсутствуют организации муниципальной формы собственности, находящиеся в стадии банкротства.</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33. Объем не завершенного в установленные сроки строительства, осуществляемого за счет средств бюджета городского округов.</w:t>
      </w:r>
    </w:p>
    <w:tbl>
      <w:tblPr>
        <w:tblW w:w="9781" w:type="dxa"/>
        <w:jc w:val="left"/>
        <w:tblInd w:w="113" w:type="dxa"/>
        <w:tblLayout w:type="fixed"/>
        <w:tblCellMar>
          <w:top w:w="0" w:type="dxa"/>
          <w:left w:w="108" w:type="dxa"/>
          <w:bottom w:w="0" w:type="dxa"/>
          <w:right w:w="108" w:type="dxa"/>
        </w:tblCellMar>
      </w:tblPr>
      <w:tblGrid>
        <w:gridCol w:w="567"/>
        <w:gridCol w:w="1946"/>
        <w:gridCol w:w="1105"/>
        <w:gridCol w:w="1111"/>
        <w:gridCol w:w="2238"/>
        <w:gridCol w:w="2813"/>
      </w:tblGrid>
      <w:tr>
        <w:trPr>
          <w:trHeight w:val="581" w:hRule="atLeast"/>
        </w:trPr>
        <w:tc>
          <w:tcPr>
            <w:tcW w:w="978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center"/>
              <w:rPr/>
            </w:pPr>
            <w:r>
              <w:rPr>
                <w:rFonts w:cs="Times New Roman CYR" w:ascii="Times New Roman CYR" w:hAnsi="Times New Roman CYR"/>
                <w:kern w:val="0"/>
                <w:sz w:val="24"/>
                <w:szCs w:val="24"/>
              </w:rPr>
              <w:t>Объем не завершенного в установленные сроки строительства, осуществляемого за счет средств бюджета городского округа</w:t>
            </w:r>
          </w:p>
        </w:tc>
      </w:tr>
      <w:tr>
        <w:trPr>
          <w:trHeight w:val="164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both"/>
              <w:rPr/>
            </w:pPr>
            <w:r>
              <w:rPr>
                <w:rFonts w:cs="Times New Roman CYR" w:ascii="Times New Roman CYR" w:hAnsi="Times New Roman CYR"/>
                <w:kern w:val="0"/>
                <w:sz w:val="24"/>
                <w:szCs w:val="24"/>
              </w:rPr>
              <w:t xml:space="preserve">№ </w:t>
            </w:r>
            <w:r>
              <w:rPr>
                <w:rFonts w:cs="Times New Roman CYR" w:ascii="Times New Roman CYR" w:hAnsi="Times New Roman CYR"/>
                <w:kern w:val="0"/>
                <w:sz w:val="24"/>
                <w:szCs w:val="24"/>
              </w:rPr>
              <w:t>п/п</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both"/>
              <w:rPr/>
            </w:pPr>
            <w:r>
              <w:rPr>
                <w:rFonts w:cs="Times New Roman CYR" w:ascii="Times New Roman CYR" w:hAnsi="Times New Roman CYR"/>
                <w:kern w:val="0"/>
                <w:sz w:val="24"/>
                <w:szCs w:val="24"/>
              </w:rPr>
              <w:t>Наименование и строительный адрес объекта</w:t>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both"/>
              <w:rPr/>
            </w:pPr>
            <w:r>
              <w:rPr>
                <w:rFonts w:cs="Times New Roman CYR" w:ascii="Times New Roman CYR" w:hAnsi="Times New Roman CYR"/>
                <w:kern w:val="0"/>
                <w:sz w:val="24"/>
                <w:szCs w:val="24"/>
              </w:rPr>
              <w:t>Период строительства</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center"/>
              <w:rPr/>
            </w:pPr>
            <w:r>
              <w:rPr>
                <w:rFonts w:cs="Times New Roman CYR" w:ascii="Times New Roman CYR" w:hAnsi="Times New Roman CYR"/>
                <w:kern w:val="0"/>
                <w:sz w:val="24"/>
                <w:szCs w:val="24"/>
              </w:rPr>
              <w:t>Заказчик</w:t>
            </w:r>
          </w:p>
        </w:tc>
        <w:tc>
          <w:tcPr>
            <w:tcW w:w="22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center"/>
              <w:rPr/>
            </w:pPr>
            <w:r>
              <w:rPr>
                <w:rFonts w:cs="Times New Roman CYR" w:ascii="Times New Roman CYR" w:hAnsi="Times New Roman CYR"/>
                <w:kern w:val="0"/>
                <w:sz w:val="24"/>
                <w:szCs w:val="24"/>
              </w:rPr>
              <w:t>Затраты бюджета городского округа на строительство объекта, тыс. руб.</w:t>
            </w:r>
          </w:p>
        </w:tc>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35" w:left="0" w:right="49"/>
              <w:jc w:val="center"/>
              <w:rPr/>
            </w:pPr>
            <w:r>
              <w:rPr>
                <w:rFonts w:cs="Times New Roman CYR" w:ascii="Times New Roman CYR" w:hAnsi="Times New Roman CYR"/>
                <w:kern w:val="0"/>
                <w:sz w:val="24"/>
                <w:szCs w:val="24"/>
              </w:rPr>
              <w:t>Перспективы дальнейшего использования объекта (продолжение СМР/отсутствие финансирования, /списание затрат)</w:t>
            </w:r>
          </w:p>
        </w:tc>
      </w:tr>
      <w:tr>
        <w:trPr>
          <w:trHeight w:val="277"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pPr>
            <w:r>
              <w:rPr>
                <w:rFonts w:cs="Times New Roman CYR" w:ascii="Times New Roman CYR" w:hAnsi="Times New Roman CYR"/>
                <w:kern w:val="0"/>
                <w:sz w:val="24"/>
                <w:szCs w:val="24"/>
              </w:rPr>
              <w:t>2</w:t>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22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9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c>
          <w:tcPr>
            <w:tcW w:w="223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pPr>
            <w:r>
              <w:rPr>
                <w:rFonts w:cs="Times New Roman CYR" w:ascii="Times New Roman CYR" w:hAnsi="Times New Roman CYR"/>
                <w:kern w:val="0"/>
                <w:sz w:val="24"/>
                <w:szCs w:val="24"/>
              </w:rPr>
              <w:t>ИТОГО</w:t>
            </w:r>
          </w:p>
        </w:tc>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uppressAutoHyphens w:val="tru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c>
      </w:tr>
    </w:tbl>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2023г. отсутствуют объекты незавершенного строительства в установленные сроки строительства, осуществляемые за счет средств бюджета городского округа.</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Просроченная кредиторская задолженность по оплате труда (включая начисления на оплату труда) муниципальных учреждений </w:t>
      </w:r>
      <w:r>
        <w:rPr>
          <w:rFonts w:cs="Times New Roman CYR" w:ascii="Times New Roman CYR" w:hAnsi="Times New Roman CYR"/>
          <w:sz w:val="28"/>
          <w:szCs w:val="28"/>
        </w:rPr>
        <w:t>отсутствует.</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bl>
      <w:tblPr>
        <w:tblW w:w="8580" w:type="dxa"/>
        <w:jc w:val="center"/>
        <w:tblInd w:w="0" w:type="dxa"/>
        <w:tblLayout w:type="fixed"/>
        <w:tblCellMar>
          <w:top w:w="0" w:type="dxa"/>
          <w:left w:w="108" w:type="dxa"/>
          <w:bottom w:w="0" w:type="dxa"/>
          <w:right w:w="108" w:type="dxa"/>
        </w:tblCellMar>
      </w:tblPr>
      <w:tblGrid>
        <w:gridCol w:w="1395"/>
        <w:gridCol w:w="1412"/>
        <w:gridCol w:w="1472"/>
        <w:gridCol w:w="1466"/>
        <w:gridCol w:w="1417"/>
        <w:gridCol w:w="1417"/>
      </w:tblGrid>
      <w:tr>
        <w:trPr>
          <w:trHeight w:val="742" w:hRule="atLeast"/>
        </w:trPr>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kern w:val="0"/>
              </w:rPr>
              <w:t>2021 год (отчет)</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kern w:val="0"/>
              </w:rPr>
              <w:t>2022 год (отчет)</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t>2023 год</w:t>
            </w:r>
          </w:p>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(отчет)</w:t>
            </w:r>
          </w:p>
        </w:tc>
        <w:tc>
          <w:tcPr>
            <w:tcW w:w="14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t>2024 год</w:t>
            </w:r>
          </w:p>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(Оценка)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t>2025 год</w:t>
            </w:r>
          </w:p>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(Оценка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t>2026 год</w:t>
            </w:r>
          </w:p>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(Оценка</w:t>
            </w:r>
          </w:p>
        </w:tc>
      </w:tr>
      <w:tr>
        <w:trPr>
          <w:trHeight w:val="445" w:hRule="atLeast"/>
        </w:trPr>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kern w:val="0"/>
              </w:rPr>
              <w:t>1 497,28</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kern w:val="0"/>
              </w:rPr>
              <w:t>1 960,50</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kern w:val="0"/>
              </w:rPr>
              <w:t>2 187,81</w:t>
            </w:r>
          </w:p>
        </w:tc>
        <w:tc>
          <w:tcPr>
            <w:tcW w:w="14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2 410,53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2 394,99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11" w:left="0" w:right="49"/>
              <w:jc w:val="center"/>
              <w:rPr/>
            </w:pPr>
            <w:r>
              <w:rPr>
                <w:rFonts w:cs="Times New Roman CYR" w:ascii="Times New Roman CYR" w:hAnsi="Times New Roman CYR"/>
                <w:color w:val="000000"/>
                <w:kern w:val="0"/>
              </w:rPr>
              <w:t>2 412,96</w:t>
            </w:r>
          </w:p>
        </w:tc>
      </w:tr>
    </w:tbl>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Увеличение показателя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за 2023 год и на последующие года по сравнению с показателем за 2022 год сложилось за счет увеличения заработной платы работникам муниципальных учреждений и органов местного самоуправления с 01.07.2023 года на 6,3% в соответствии с Законом Красноярского края "О внесении изменений в Закон Красноярского края "О краевом бюджете на 2023 год и плановый период 2024-2025 годов". </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Увеличение показателя 2024 года и последующих годов по сравнению с 2023 годом сложилось в связи с тем, что с 01.01.2024 года из-за роста минимальной заработной платы на 18,5% работникам муниципальных учреждений с 01.01.2024 года введена специальная региональная выплата в сумме 3000 рублей с учетом районного коэффициента и северной надбавки. Указанная выплата учтена при расчете показателя на 2025 и 2026 годы.</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Кроме того, на изменение расходов бюджета городского округа на содержание работников местного самоуправления в расчете на одного жителя муниципального образования повлияло ежегодное уменьшение показателя "Среднегодовая численность постоянного населения". </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 xml:space="preserve">36. Наличие в городском округе утвержденного генерального плана, городского округа </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suppressAutoHyphens w:val="true"/>
        <w:bidi w:val="0"/>
        <w:spacing w:before="0" w:after="0"/>
        <w:ind w:firstLine="709" w:left="0" w:right="49"/>
        <w:jc w:val="both"/>
        <w:rPr>
          <w:rFonts w:ascii="Times New Roman CYR" w:hAnsi="Times New Roman CYR" w:cs="Times New Roman CYR"/>
          <w:color w:val="000000"/>
          <w:kern w:val="0"/>
          <w:sz w:val="28"/>
          <w:szCs w:val="28"/>
        </w:rPr>
      </w:pPr>
      <w:r>
        <w:rPr>
          <w:rFonts w:cs="Times New Roman CYR" w:ascii="Times New Roman CYR" w:hAnsi="Times New Roman CYR"/>
          <w:color w:val="000000"/>
          <w:kern w:val="0"/>
          <w:sz w:val="28"/>
          <w:szCs w:val="28"/>
        </w:rPr>
        <w:t xml:space="preserve">Генеральный план </w:t>
      </w:r>
      <w:r>
        <w:rPr>
          <w:rFonts w:cs="Times New Roman CYR" w:ascii="Times New Roman CYR" w:hAnsi="Times New Roman CYR"/>
          <w:kern w:val="0"/>
          <w:sz w:val="28"/>
          <w:szCs w:val="28"/>
        </w:rPr>
        <w:t xml:space="preserve">утвержден </w:t>
      </w:r>
      <w:r>
        <w:rPr>
          <w:rFonts w:cs="Times New Roman CYR" w:ascii="Times New Roman CYR" w:hAnsi="Times New Roman CYR"/>
          <w:color w:val="000000"/>
          <w:kern w:val="0"/>
          <w:sz w:val="28"/>
          <w:szCs w:val="28"/>
        </w:rPr>
        <w:t xml:space="preserve">Решением Шарыповского городского Совета депутатов от 13.09.2022г.    № 26-89 </w:t>
      </w:r>
      <w:r>
        <w:rPr>
          <w:rFonts w:cs="Times New Roman CYR" w:ascii="Times New Roman CYR" w:hAnsi="Times New Roman CYR"/>
          <w:kern w:val="0"/>
          <w:sz w:val="28"/>
          <w:szCs w:val="28"/>
        </w:rPr>
        <w:t>"</w:t>
      </w:r>
      <w:r>
        <w:rPr>
          <w:rFonts w:cs="Times New Roman CYR" w:ascii="Times New Roman CYR" w:hAnsi="Times New Roman CYR"/>
          <w:color w:val="000000"/>
          <w:kern w:val="0"/>
          <w:sz w:val="28"/>
          <w:szCs w:val="28"/>
        </w:rPr>
        <w:t>Об утверждении Генерального плана муниципального образования город Шарыпово Красноярского края</w:t>
      </w:r>
      <w:r>
        <w:rPr>
          <w:rFonts w:cs="Times New Roman CYR" w:ascii="Times New Roman CYR" w:hAnsi="Times New Roman CYR"/>
          <w:kern w:val="0"/>
          <w:sz w:val="28"/>
          <w:szCs w:val="28"/>
        </w:rPr>
        <w:t>"</w:t>
      </w:r>
      <w:r>
        <w:rPr>
          <w:rFonts w:cs="Times New Roman CYR" w:ascii="Times New Roman CYR" w:hAnsi="Times New Roman CYR"/>
          <w:color w:val="000000"/>
          <w:kern w:val="0"/>
          <w:sz w:val="28"/>
          <w:szCs w:val="28"/>
        </w:rPr>
        <w:t>.</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 xml:space="preserve">37. Удовлетворенность населения деятельностью местного самоуправления городского округа </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Уровень удовлетворенности населения деятельностью органов местного самоуправления городского округа города Шарыпово составил 52,90%, что ниже на 0,3 процентных пункта к уровню 2022 года.</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38. Среднегодовая численность постоянного населения</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городского округа.</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 данным Красноярскстата среднегодовая численность населения на 01.01.2023г. составила 41024 человек, или 98,6% к предыдущему году, аналогичный показатель за 2022г. составлял – 41616 человек.</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отчетном году родилось 370 малышей, умерло – 605 человек, естественная убыль составила 235 человек, коэффициент естественного прироста составил «– 5,8» (аналогичный период 2022 года «–7,5»).</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Миграция является важнейшим фактором изменения численности населения города, в течение года в городе наблюдалась миграционная убыль: на территорию города прибыло 1746 человек, убыло – 1789 человек, сальдо миграции составило -43 человека.</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На протяжении последних лет отмечается ежегодное снижение численности населения. Согласно оценке, к концу 2026 года на территории городского округа будет проживать 39566 человек. Среднегодовая численность постоянного населения составит 39786 человек.</w:t>
      </w:r>
    </w:p>
    <w:p>
      <w:pPr>
        <w:pStyle w:val="Normal"/>
        <w:widowControl w:val="false"/>
        <w:bidi w:val="0"/>
        <w:spacing w:before="0" w:after="0"/>
        <w:ind w:firstLine="709" w:left="0" w:right="49"/>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IX. Энергосбережение и повышение энергетической эффективности</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pPr>
        <w:pStyle w:val="Normal"/>
        <w:widowControl w:val="false"/>
        <w:bidi w:val="0"/>
        <w:spacing w:before="0" w:after="0"/>
        <w:ind w:firstLine="709" w:left="0" w:right="49"/>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Показатель по электроэнергии в 2023 году уменьшился по отношению к 2022 году на 2,39%, в связи с увеличением численности проживающих (удельное потребление одиноко проживающих граждан выше удельного потребления граждан проживающих совместно, 2 и более человек) а также с экономичным подходом населения к расходованию коммунального ресурса в связи с реализацией Федерального Закона от 27.12.2018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ПАО «Красноярскэнергосбыт» проведена работа по замене приборов учета электрической энергии на интеллектуальные приборы учета, что повысило точность и обеспечило своевременную передачу показаний. В прогнозируемом периоде 2024-2026 годов показатель планируется на уровне 2023 года.</w:t>
      </w:r>
    </w:p>
    <w:p>
      <w:pPr>
        <w:pStyle w:val="Normal"/>
        <w:widowControl w:val="false"/>
        <w:bidi w:val="0"/>
        <w:spacing w:before="0" w:after="0"/>
        <w:ind w:firstLine="709" w:left="0" w:right="49"/>
        <w:jc w:val="right"/>
        <w:rPr>
          <w:rFonts w:ascii="Times New Roman CYR" w:hAnsi="Times New Roman CYR" w:cs="Times New Roman CYR"/>
          <w:kern w:val="0"/>
          <w:sz w:val="24"/>
          <w:szCs w:val="24"/>
        </w:rPr>
      </w:pPr>
      <w:r>
        <w:rPr>
          <w:rFonts w:cs="Times New Roman CYR" w:ascii="Times New Roman CYR" w:hAnsi="Times New Roman CYR"/>
          <w:kern w:val="0"/>
          <w:sz w:val="24"/>
          <w:szCs w:val="24"/>
        </w:rPr>
        <w:t>Расшифровка показателя №39.1</w:t>
      </w:r>
    </w:p>
    <w:tbl>
      <w:tblPr>
        <w:tblW w:w="9521" w:type="dxa"/>
        <w:jc w:val="left"/>
        <w:tblInd w:w="231" w:type="dxa"/>
        <w:tblLayout w:type="fixed"/>
        <w:tblCellMar>
          <w:top w:w="0" w:type="dxa"/>
          <w:left w:w="108" w:type="dxa"/>
          <w:bottom w:w="0" w:type="dxa"/>
          <w:right w:w="108" w:type="dxa"/>
        </w:tblCellMar>
      </w:tblPr>
      <w:tblGrid>
        <w:gridCol w:w="3001"/>
        <w:gridCol w:w="1416"/>
        <w:gridCol w:w="1276"/>
        <w:gridCol w:w="1277"/>
        <w:gridCol w:w="1276"/>
        <w:gridCol w:w="1274"/>
      </w:tblGrid>
      <w:tr>
        <w:trPr>
          <w:trHeight w:val="300" w:hRule="atLeast"/>
        </w:trPr>
        <w:tc>
          <w:tcPr>
            <w:tcW w:w="30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Наименование показателя и единицы измерения</w:t>
            </w:r>
          </w:p>
        </w:tc>
        <w:tc>
          <w:tcPr>
            <w:tcW w:w="6519"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Значения показателя</w:t>
            </w:r>
          </w:p>
        </w:tc>
      </w:tr>
      <w:tr>
        <w:trPr>
          <w:trHeight w:val="698" w:hRule="atLeast"/>
        </w:trPr>
        <w:tc>
          <w:tcPr>
            <w:tcW w:w="30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41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2022 факт</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2023 факт</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2024 прогноз</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2025 прогноз</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2026 прогноз</w:t>
            </w:r>
          </w:p>
        </w:tc>
      </w:tr>
      <w:tr>
        <w:trPr>
          <w:trHeight w:val="570" w:hRule="atLeast"/>
        </w:trPr>
        <w:tc>
          <w:tcPr>
            <w:tcW w:w="3001"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color w:val="000000"/>
                <w:kern w:val="0"/>
              </w:rPr>
              <w:t>39.1. Потребление электрической энергии, кВтч на 1 проживающего</w:t>
            </w:r>
          </w:p>
        </w:tc>
        <w:tc>
          <w:tcPr>
            <w:tcW w:w="1416"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sz w:val="20"/>
                <w:szCs w:val="20"/>
              </w:rPr>
              <w:t>998,59</w:t>
            </w:r>
          </w:p>
        </w:tc>
        <w:tc>
          <w:tcPr>
            <w:tcW w:w="1276"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sz w:val="20"/>
                <w:szCs w:val="20"/>
              </w:rPr>
              <w:t>974,70</w:t>
            </w:r>
          </w:p>
        </w:tc>
        <w:tc>
          <w:tcPr>
            <w:tcW w:w="1277"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sz w:val="20"/>
                <w:szCs w:val="20"/>
              </w:rPr>
              <w:t>974,70</w:t>
            </w:r>
          </w:p>
        </w:tc>
        <w:tc>
          <w:tcPr>
            <w:tcW w:w="1276"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sz w:val="20"/>
                <w:szCs w:val="20"/>
              </w:rPr>
              <w:t>974,70</w:t>
            </w:r>
          </w:p>
        </w:tc>
        <w:tc>
          <w:tcPr>
            <w:tcW w:w="12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sz w:val="20"/>
                <w:szCs w:val="20"/>
              </w:rPr>
              <w:t>974,70</w:t>
            </w:r>
          </w:p>
        </w:tc>
      </w:tr>
      <w:tr>
        <w:trPr>
          <w:trHeight w:val="600" w:hRule="atLeast"/>
        </w:trPr>
        <w:tc>
          <w:tcPr>
            <w:tcW w:w="3001"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color w:val="000000"/>
                <w:kern w:val="0"/>
              </w:rPr>
              <w:t>объем потребления электрической энергии в многоквартирных домах, кВтч</w:t>
            </w:r>
          </w:p>
        </w:tc>
        <w:tc>
          <w:tcPr>
            <w:tcW w:w="141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39846611,05</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39846611,05</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39581493,31</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39333920,13</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39117537,27</w:t>
            </w:r>
          </w:p>
        </w:tc>
      </w:tr>
      <w:tr>
        <w:trPr>
          <w:trHeight w:val="829" w:hRule="atLeast"/>
        </w:trPr>
        <w:tc>
          <w:tcPr>
            <w:tcW w:w="3001"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color w:val="000000"/>
                <w:kern w:val="0"/>
              </w:rPr>
              <w:t>число проживающих в многоквартирных домах, которым отпущен соответствующий энергетический ресурс, чел.</w:t>
            </w:r>
          </w:p>
        </w:tc>
        <w:tc>
          <w:tcPr>
            <w:tcW w:w="141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39 903</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40 881</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40 609</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40 355</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sz w:val="20"/>
                <w:szCs w:val="20"/>
              </w:rPr>
              <w:t>40 133</w:t>
            </w:r>
          </w:p>
        </w:tc>
      </w:tr>
    </w:tbl>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Удельный показатель тепловой энергии в 2023 году по отношению к 2022 году увеличился на 30,0%. Увеличение удельного потребления тепловой энергии обусловлено в том числе и температурным режимом наружного воздуха в течении отчетного периода. В прогнозируемом периоде 2024-2026 годов показатель приравнивается к уровню 2023 года. </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right"/>
        <w:rPr>
          <w:rFonts w:ascii="Times New Roman CYR" w:hAnsi="Times New Roman CYR" w:cs="Times New Roman CYR"/>
          <w:kern w:val="0"/>
          <w:sz w:val="24"/>
          <w:szCs w:val="24"/>
        </w:rPr>
      </w:pPr>
      <w:r>
        <w:rPr>
          <w:rFonts w:cs="Times New Roman CYR" w:ascii="Times New Roman CYR" w:hAnsi="Times New Roman CYR"/>
          <w:kern w:val="0"/>
          <w:sz w:val="24"/>
          <w:szCs w:val="24"/>
        </w:rPr>
        <w:t>Расшифровка показателя №39.2</w:t>
      </w:r>
    </w:p>
    <w:tbl>
      <w:tblPr>
        <w:tblW w:w="9521" w:type="dxa"/>
        <w:jc w:val="left"/>
        <w:tblInd w:w="231" w:type="dxa"/>
        <w:tblLayout w:type="fixed"/>
        <w:tblCellMar>
          <w:top w:w="0" w:type="dxa"/>
          <w:left w:w="108" w:type="dxa"/>
          <w:bottom w:w="0" w:type="dxa"/>
          <w:right w:w="108" w:type="dxa"/>
        </w:tblCellMar>
      </w:tblPr>
      <w:tblGrid>
        <w:gridCol w:w="3142"/>
        <w:gridCol w:w="1276"/>
        <w:gridCol w:w="1277"/>
        <w:gridCol w:w="1276"/>
        <w:gridCol w:w="1275"/>
        <w:gridCol w:w="1274"/>
      </w:tblGrid>
      <w:tr>
        <w:trPr>
          <w:trHeight w:val="300" w:hRule="atLeast"/>
        </w:trPr>
        <w:tc>
          <w:tcPr>
            <w:tcW w:w="31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Наименование показателя и единицы измерения</w:t>
            </w:r>
          </w:p>
        </w:tc>
        <w:tc>
          <w:tcPr>
            <w:tcW w:w="6378"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Значения показателя</w:t>
            </w:r>
          </w:p>
        </w:tc>
      </w:tr>
      <w:tr>
        <w:trPr>
          <w:trHeight w:val="361" w:hRule="atLeast"/>
        </w:trPr>
        <w:tc>
          <w:tcPr>
            <w:tcW w:w="31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2022 факт</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2023 факт</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2024 прогноз</w:t>
            </w:r>
          </w:p>
        </w:tc>
        <w:tc>
          <w:tcPr>
            <w:tcW w:w="127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2025 прогноз</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color w:val="000000"/>
                <w:kern w:val="0"/>
              </w:rPr>
              <w:t>2026 прогноз</w:t>
            </w:r>
          </w:p>
        </w:tc>
      </w:tr>
      <w:tr>
        <w:trPr>
          <w:trHeight w:val="570" w:hRule="atLeast"/>
        </w:trPr>
        <w:tc>
          <w:tcPr>
            <w:tcW w:w="3142"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left"/>
              <w:rPr/>
            </w:pPr>
            <w:r>
              <w:rPr>
                <w:rFonts w:cs="Times New Roman CYR" w:ascii="Times New Roman CYR" w:hAnsi="Times New Roman CYR"/>
                <w:b/>
                <w:bCs/>
                <w:color w:val="000000"/>
                <w:kern w:val="0"/>
              </w:rPr>
              <w:t>39.2. Потребление тепловой энергии, Гкал на 1 кв. метр общей площади</w:t>
            </w:r>
          </w:p>
        </w:tc>
        <w:tc>
          <w:tcPr>
            <w:tcW w:w="1276"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b/>
                <w:bCs/>
                <w:kern w:val="0"/>
              </w:rPr>
              <w:t>0,30</w:t>
            </w:r>
          </w:p>
        </w:tc>
        <w:tc>
          <w:tcPr>
            <w:tcW w:w="1277"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b/>
                <w:bCs/>
                <w:kern w:val="0"/>
              </w:rPr>
              <w:t>0,39</w:t>
            </w:r>
          </w:p>
        </w:tc>
        <w:tc>
          <w:tcPr>
            <w:tcW w:w="1276"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b/>
                <w:bCs/>
                <w:kern w:val="0"/>
              </w:rPr>
              <w:t>0,39</w:t>
            </w:r>
          </w:p>
        </w:tc>
        <w:tc>
          <w:tcPr>
            <w:tcW w:w="1275"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b/>
                <w:bCs/>
                <w:kern w:val="0"/>
              </w:rPr>
              <w:t>0,39</w:t>
            </w:r>
          </w:p>
        </w:tc>
        <w:tc>
          <w:tcPr>
            <w:tcW w:w="12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b/>
                <w:bCs/>
                <w:kern w:val="0"/>
              </w:rPr>
              <w:t>0,39</w:t>
            </w:r>
          </w:p>
        </w:tc>
      </w:tr>
      <w:tr>
        <w:trPr>
          <w:trHeight w:val="493" w:hRule="atLeast"/>
        </w:trPr>
        <w:tc>
          <w:tcPr>
            <w:tcW w:w="3142"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left"/>
              <w:rPr/>
            </w:pPr>
            <w:r>
              <w:rPr>
                <w:rFonts w:cs="Times New Roman CYR" w:ascii="Times New Roman CYR" w:hAnsi="Times New Roman CYR"/>
                <w:color w:val="000000"/>
                <w:kern w:val="0"/>
              </w:rPr>
              <w:t>объем потребленной тепловой энергии в многоквартирных домах, Гкал</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296061</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378725,18</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378725,18</w:t>
            </w:r>
          </w:p>
        </w:tc>
        <w:tc>
          <w:tcPr>
            <w:tcW w:w="127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378725,18</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378725,18</w:t>
            </w:r>
          </w:p>
        </w:tc>
      </w:tr>
      <w:tr>
        <w:trPr>
          <w:trHeight w:val="600" w:hRule="atLeast"/>
        </w:trPr>
        <w:tc>
          <w:tcPr>
            <w:tcW w:w="3142"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left"/>
              <w:rPr/>
            </w:pPr>
            <w:r>
              <w:rPr>
                <w:rFonts w:cs="Times New Roman CYR" w:ascii="Times New Roman CYR" w:hAnsi="Times New Roman CYR"/>
                <w:color w:val="000000"/>
                <w:kern w:val="0"/>
              </w:rPr>
              <w:t>общая площадь жилых помещений в многоквартирных домах, кв.м</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979380,10</w:t>
            </w:r>
          </w:p>
        </w:tc>
        <w:tc>
          <w:tcPr>
            <w:tcW w:w="1277"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979380,10</w:t>
            </w:r>
          </w:p>
        </w:tc>
        <w:tc>
          <w:tcPr>
            <w:tcW w:w="1276"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979380,10</w:t>
            </w:r>
          </w:p>
        </w:tc>
        <w:tc>
          <w:tcPr>
            <w:tcW w:w="1275"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979380,10</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59" w:left="0" w:right="49"/>
              <w:jc w:val="center"/>
              <w:rPr/>
            </w:pPr>
            <w:r>
              <w:rPr>
                <w:rFonts w:cs="Times New Roman CYR" w:ascii="Times New Roman CYR" w:hAnsi="Times New Roman CYR"/>
                <w:kern w:val="0"/>
              </w:rPr>
              <w:t>979380,10</w:t>
            </w:r>
          </w:p>
        </w:tc>
      </w:tr>
    </w:tbl>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Текущий показатель по горячей воде в 2023 году незначительно вырос по сравнению с 2022 годом на 2,35%, что обусловлено приростом численности граждан, проживающих в многоквартирных домах. </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прогнозируемом периоде 2024-2026 годов показатель приравнивается к уровню 2023 года.</w:t>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49"/>
        <w:jc w:val="right"/>
        <w:rPr>
          <w:rFonts w:ascii="Times New Roman CYR" w:hAnsi="Times New Roman CYR" w:cs="Times New Roman CYR"/>
          <w:kern w:val="0"/>
          <w:sz w:val="24"/>
          <w:szCs w:val="24"/>
        </w:rPr>
      </w:pPr>
      <w:r>
        <w:rPr>
          <w:rFonts w:cs="Times New Roman CYR" w:ascii="Times New Roman CYR" w:hAnsi="Times New Roman CYR"/>
          <w:kern w:val="0"/>
          <w:sz w:val="24"/>
          <w:szCs w:val="24"/>
        </w:rPr>
        <w:t>Расшифровка показателя №39.3</w:t>
      </w:r>
    </w:p>
    <w:tbl>
      <w:tblPr>
        <w:tblW w:w="9521" w:type="dxa"/>
        <w:jc w:val="left"/>
        <w:tblInd w:w="231" w:type="dxa"/>
        <w:tblLayout w:type="fixed"/>
        <w:tblCellMar>
          <w:top w:w="0" w:type="dxa"/>
          <w:left w:w="108" w:type="dxa"/>
          <w:bottom w:w="0" w:type="dxa"/>
          <w:right w:w="108" w:type="dxa"/>
        </w:tblCellMar>
      </w:tblPr>
      <w:tblGrid>
        <w:gridCol w:w="3710"/>
        <w:gridCol w:w="1134"/>
        <w:gridCol w:w="992"/>
        <w:gridCol w:w="1220"/>
        <w:gridCol w:w="1190"/>
        <w:gridCol w:w="1274"/>
      </w:tblGrid>
      <w:tr>
        <w:trPr>
          <w:trHeight w:val="300" w:hRule="atLeast"/>
        </w:trPr>
        <w:tc>
          <w:tcPr>
            <w:tcW w:w="3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Наименование показателя и единицы измерения</w:t>
            </w:r>
          </w:p>
        </w:tc>
        <w:tc>
          <w:tcPr>
            <w:tcW w:w="5810"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Значения показателя</w:t>
            </w:r>
          </w:p>
        </w:tc>
      </w:tr>
      <w:tr>
        <w:trPr>
          <w:trHeight w:val="698" w:hRule="atLeast"/>
        </w:trPr>
        <w:tc>
          <w:tcPr>
            <w:tcW w:w="3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2022 факт</w:t>
            </w:r>
          </w:p>
        </w:tc>
        <w:tc>
          <w:tcPr>
            <w:tcW w:w="99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2023 факт</w:t>
            </w:r>
          </w:p>
        </w:tc>
        <w:tc>
          <w:tcPr>
            <w:tcW w:w="122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2024 прогноз</w:t>
            </w:r>
          </w:p>
        </w:tc>
        <w:tc>
          <w:tcPr>
            <w:tcW w:w="119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2025 прогноз</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color w:val="000000"/>
                <w:kern w:val="0"/>
              </w:rPr>
              <w:t>2026 прогноз</w:t>
            </w:r>
          </w:p>
        </w:tc>
      </w:tr>
      <w:tr>
        <w:trPr>
          <w:trHeight w:val="570" w:hRule="atLeast"/>
        </w:trPr>
        <w:tc>
          <w:tcPr>
            <w:tcW w:w="3710"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b/>
                <w:bCs/>
                <w:color w:val="000000"/>
                <w:kern w:val="0"/>
              </w:rPr>
              <w:t>39.3. Потребление горячей воды, куб. метров на 1 проживающего</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14,06</w:t>
            </w:r>
          </w:p>
        </w:tc>
        <w:tc>
          <w:tcPr>
            <w:tcW w:w="992"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14,44</w:t>
            </w:r>
          </w:p>
        </w:tc>
        <w:tc>
          <w:tcPr>
            <w:tcW w:w="122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14,44</w:t>
            </w:r>
          </w:p>
        </w:tc>
        <w:tc>
          <w:tcPr>
            <w:tcW w:w="119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14,44</w:t>
            </w:r>
          </w:p>
        </w:tc>
        <w:tc>
          <w:tcPr>
            <w:tcW w:w="12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b/>
                <w:bCs/>
                <w:kern w:val="0"/>
              </w:rPr>
              <w:t>14,44</w:t>
            </w:r>
          </w:p>
        </w:tc>
      </w:tr>
      <w:tr>
        <w:trPr>
          <w:trHeight w:val="698" w:hRule="atLeast"/>
        </w:trPr>
        <w:tc>
          <w:tcPr>
            <w:tcW w:w="3710"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color w:val="000000"/>
                <w:kern w:val="0"/>
              </w:rPr>
              <w:t>объем потребления горячей воды в многоквартирных домах, куб.м</w:t>
            </w:r>
          </w:p>
        </w:tc>
        <w:tc>
          <w:tcPr>
            <w:tcW w:w="1134" w:type="dxa"/>
            <w:tcBorders>
              <w:bottom w:val="single" w:sz="4" w:space="0" w:color="000000"/>
              <w:right w:val="single" w:sz="4" w:space="0" w:color="000000"/>
            </w:tcBorders>
            <w:vAlign w:val="bottom"/>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561195</w:t>
            </w:r>
          </w:p>
        </w:tc>
        <w:tc>
          <w:tcPr>
            <w:tcW w:w="992" w:type="dxa"/>
            <w:tcBorders>
              <w:bottom w:val="single" w:sz="4" w:space="0" w:color="000000"/>
              <w:right w:val="single" w:sz="4" w:space="0" w:color="000000"/>
            </w:tcBorders>
            <w:vAlign w:val="bottom"/>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590249</w:t>
            </w:r>
          </w:p>
        </w:tc>
        <w:tc>
          <w:tcPr>
            <w:tcW w:w="1220" w:type="dxa"/>
            <w:tcBorders>
              <w:bottom w:val="single" w:sz="4" w:space="0" w:color="000000"/>
              <w:right w:val="single" w:sz="4" w:space="0" w:color="000000"/>
            </w:tcBorders>
            <w:vAlign w:val="bottom"/>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586321,80</w:t>
            </w:r>
          </w:p>
        </w:tc>
        <w:tc>
          <w:tcPr>
            <w:tcW w:w="1190" w:type="dxa"/>
            <w:tcBorders>
              <w:bottom w:val="single" w:sz="4" w:space="0" w:color="000000"/>
              <w:right w:val="single" w:sz="4" w:space="0" w:color="000000"/>
            </w:tcBorders>
            <w:vAlign w:val="bottom"/>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582654,49</w:t>
            </w:r>
          </w:p>
        </w:tc>
        <w:tc>
          <w:tcPr>
            <w:tcW w:w="1274" w:type="dxa"/>
            <w:tcBorders>
              <w:bottom w:val="single" w:sz="4" w:space="0" w:color="000000"/>
              <w:right w:val="single" w:sz="4" w:space="0" w:color="000000"/>
            </w:tcBorders>
            <w:vAlign w:val="bottom"/>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579449,20</w:t>
            </w:r>
          </w:p>
        </w:tc>
      </w:tr>
      <w:tr>
        <w:trPr>
          <w:trHeight w:val="912" w:hRule="atLeast"/>
        </w:trPr>
        <w:tc>
          <w:tcPr>
            <w:tcW w:w="3710"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left"/>
              <w:rPr/>
            </w:pPr>
            <w:r>
              <w:rPr>
                <w:rFonts w:cs="Times New Roman CYR" w:ascii="Times New Roman CYR" w:hAnsi="Times New Roman CYR"/>
                <w:color w:val="000000"/>
                <w:kern w:val="0"/>
              </w:rPr>
              <w:t>число проживающих в многоквартирных домах, которым отпущен соответствующий энергетический ресурс, чел.</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39 903</w:t>
            </w:r>
          </w:p>
        </w:tc>
        <w:tc>
          <w:tcPr>
            <w:tcW w:w="99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40 881</w:t>
            </w:r>
          </w:p>
        </w:tc>
        <w:tc>
          <w:tcPr>
            <w:tcW w:w="122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40 609</w:t>
            </w:r>
          </w:p>
        </w:tc>
        <w:tc>
          <w:tcPr>
            <w:tcW w:w="119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40 355</w:t>
            </w:r>
          </w:p>
        </w:tc>
        <w:tc>
          <w:tcPr>
            <w:tcW w:w="1274"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49"/>
              <w:jc w:val="center"/>
              <w:rPr/>
            </w:pPr>
            <w:r>
              <w:rPr>
                <w:rFonts w:cs="Times New Roman CYR" w:ascii="Times New Roman CYR" w:hAnsi="Times New Roman CYR"/>
                <w:kern w:val="0"/>
              </w:rPr>
              <w:t>40 133</w:t>
            </w:r>
          </w:p>
        </w:tc>
      </w:tr>
    </w:tbl>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Текущий показатель по холодной воде в 2023 году незначительно увеличился по сравнению с 2022 годом, что обусловлено увеличением объема потребления холодной воды по индивидуальным приборам учета на 107 014,05 м3 и увеличением численности проживающих граждан.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прогнозируемом периоде 2024-2026 годов показатель прогнозируется на уровне 2023 года.</w:t>
      </w:r>
    </w:p>
    <w:p>
      <w:pPr>
        <w:pStyle w:val="Normal"/>
        <w:widowControl w:val="false"/>
        <w:bidi w:val="0"/>
        <w:spacing w:before="0" w:after="0"/>
        <w:ind w:firstLine="709" w:left="0" w:right="0"/>
        <w:jc w:val="right"/>
        <w:rPr>
          <w:rFonts w:ascii="Times New Roman CYR" w:hAnsi="Times New Roman CYR" w:cs="Times New Roman CYR"/>
          <w:kern w:val="0"/>
          <w:sz w:val="24"/>
          <w:szCs w:val="24"/>
        </w:rPr>
      </w:pPr>
      <w:r>
        <w:rPr>
          <w:rFonts w:cs="Times New Roman CYR" w:ascii="Times New Roman CYR" w:hAnsi="Times New Roman CYR"/>
          <w:kern w:val="0"/>
          <w:sz w:val="24"/>
          <w:szCs w:val="24"/>
        </w:rPr>
        <w:t>Расшифровка показателя №39.4</w:t>
      </w:r>
    </w:p>
    <w:tbl>
      <w:tblPr>
        <w:tblW w:w="9557" w:type="dxa"/>
        <w:jc w:val="left"/>
        <w:tblInd w:w="231" w:type="dxa"/>
        <w:tblLayout w:type="fixed"/>
        <w:tblCellMar>
          <w:top w:w="0" w:type="dxa"/>
          <w:left w:w="108" w:type="dxa"/>
          <w:bottom w:w="0" w:type="dxa"/>
          <w:right w:w="108" w:type="dxa"/>
        </w:tblCellMar>
      </w:tblPr>
      <w:tblGrid>
        <w:gridCol w:w="3143"/>
        <w:gridCol w:w="1260"/>
        <w:gridCol w:w="1262"/>
        <w:gridCol w:w="1329"/>
        <w:gridCol w:w="1282"/>
        <w:gridCol w:w="1280"/>
      </w:tblGrid>
      <w:tr>
        <w:trPr>
          <w:trHeight w:val="300" w:hRule="atLeast"/>
        </w:trPr>
        <w:tc>
          <w:tcPr>
            <w:tcW w:w="31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Наименование показателя и единицы измерения</w:t>
            </w:r>
          </w:p>
        </w:tc>
        <w:tc>
          <w:tcPr>
            <w:tcW w:w="6413"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Значения показателя</w:t>
            </w:r>
          </w:p>
        </w:tc>
      </w:tr>
      <w:tr>
        <w:trPr>
          <w:trHeight w:val="640" w:hRule="atLeast"/>
        </w:trPr>
        <w:tc>
          <w:tcPr>
            <w:tcW w:w="31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both"/>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2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2022 факт</w:t>
            </w:r>
          </w:p>
        </w:tc>
        <w:tc>
          <w:tcPr>
            <w:tcW w:w="126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2023 факт</w:t>
            </w:r>
          </w:p>
        </w:tc>
        <w:tc>
          <w:tcPr>
            <w:tcW w:w="1329"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2024 прогноз</w:t>
            </w:r>
          </w:p>
        </w:tc>
        <w:tc>
          <w:tcPr>
            <w:tcW w:w="128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2025 прогноз</w:t>
            </w:r>
          </w:p>
        </w:tc>
        <w:tc>
          <w:tcPr>
            <w:tcW w:w="128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color w:val="000000"/>
                <w:kern w:val="0"/>
              </w:rPr>
              <w:t>2026 прогноз</w:t>
            </w:r>
          </w:p>
        </w:tc>
      </w:tr>
      <w:tr>
        <w:trPr>
          <w:trHeight w:val="570" w:hRule="atLeast"/>
        </w:trPr>
        <w:tc>
          <w:tcPr>
            <w:tcW w:w="3143"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both"/>
              <w:rPr/>
            </w:pPr>
            <w:r>
              <w:rPr>
                <w:rFonts w:cs="Times New Roman CYR" w:ascii="Times New Roman CYR" w:hAnsi="Times New Roman CYR"/>
                <w:b/>
                <w:bCs/>
                <w:color w:val="000000"/>
                <w:kern w:val="0"/>
              </w:rPr>
              <w:t>39.4. Потребление холодной воды, куб. метров на 1 проживающего</w:t>
            </w:r>
          </w:p>
        </w:tc>
        <w:tc>
          <w:tcPr>
            <w:tcW w:w="126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kern w:val="0"/>
              </w:rPr>
              <w:t>32,11</w:t>
            </w:r>
          </w:p>
        </w:tc>
        <w:tc>
          <w:tcPr>
            <w:tcW w:w="1262"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kern w:val="0"/>
              </w:rPr>
              <w:t>33,96</w:t>
            </w:r>
          </w:p>
        </w:tc>
        <w:tc>
          <w:tcPr>
            <w:tcW w:w="1329"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kern w:val="0"/>
              </w:rPr>
              <w:t>33,96</w:t>
            </w:r>
          </w:p>
        </w:tc>
        <w:tc>
          <w:tcPr>
            <w:tcW w:w="1282"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kern w:val="0"/>
              </w:rPr>
              <w:t>33,96</w:t>
            </w:r>
          </w:p>
        </w:tc>
        <w:tc>
          <w:tcPr>
            <w:tcW w:w="1280"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b/>
                <w:bCs/>
                <w:kern w:val="0"/>
              </w:rPr>
              <w:t>33,96</w:t>
            </w:r>
          </w:p>
        </w:tc>
      </w:tr>
      <w:tr>
        <w:trPr>
          <w:trHeight w:val="900" w:hRule="atLeast"/>
        </w:trPr>
        <w:tc>
          <w:tcPr>
            <w:tcW w:w="3143"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both"/>
              <w:rPr/>
            </w:pPr>
            <w:r>
              <w:rPr>
                <w:rFonts w:cs="Times New Roman CYR" w:ascii="Times New Roman CYR" w:hAnsi="Times New Roman CYR"/>
                <w:color w:val="000000"/>
                <w:kern w:val="0"/>
              </w:rPr>
              <w:t>объем потребления холодной воды в многоквартирных домах, куб.м</w:t>
            </w:r>
          </w:p>
        </w:tc>
        <w:tc>
          <w:tcPr>
            <w:tcW w:w="12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1281267,60</w:t>
            </w:r>
          </w:p>
        </w:tc>
        <w:tc>
          <w:tcPr>
            <w:tcW w:w="126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1388281,65</w:t>
            </w:r>
          </w:p>
        </w:tc>
        <w:tc>
          <w:tcPr>
            <w:tcW w:w="1329"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1 379044,78</w:t>
            </w:r>
          </w:p>
        </w:tc>
        <w:tc>
          <w:tcPr>
            <w:tcW w:w="128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1370419,17</w:t>
            </w:r>
          </w:p>
        </w:tc>
        <w:tc>
          <w:tcPr>
            <w:tcW w:w="128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1362880,25</w:t>
            </w:r>
          </w:p>
        </w:tc>
      </w:tr>
      <w:tr>
        <w:trPr>
          <w:trHeight w:val="803" w:hRule="atLeast"/>
        </w:trPr>
        <w:tc>
          <w:tcPr>
            <w:tcW w:w="3143"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both"/>
              <w:rPr/>
            </w:pPr>
            <w:r>
              <w:rPr>
                <w:rFonts w:cs="Times New Roman CYR" w:ascii="Times New Roman CYR" w:hAnsi="Times New Roman CYR"/>
                <w:color w:val="000000"/>
                <w:kern w:val="0"/>
              </w:rPr>
              <w:t>число проживающих в многоквартирных домах, которым отпущен соответствующий энергетический ресурс, чел.</w:t>
            </w:r>
          </w:p>
        </w:tc>
        <w:tc>
          <w:tcPr>
            <w:tcW w:w="126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39 903</w:t>
            </w:r>
          </w:p>
        </w:tc>
        <w:tc>
          <w:tcPr>
            <w:tcW w:w="126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40 881</w:t>
            </w:r>
          </w:p>
        </w:tc>
        <w:tc>
          <w:tcPr>
            <w:tcW w:w="1329"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40 609</w:t>
            </w:r>
          </w:p>
        </w:tc>
        <w:tc>
          <w:tcPr>
            <w:tcW w:w="1282"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40 355</w:t>
            </w:r>
          </w:p>
        </w:tc>
        <w:tc>
          <w:tcPr>
            <w:tcW w:w="1280" w:type="dxa"/>
            <w:tcBorders>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rPr>
              <w:t>40 133</w:t>
            </w:r>
          </w:p>
        </w:tc>
      </w:tr>
    </w:tbl>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Показатели удельной величины потребления природного газа равны "0", так как на территории городского округа отсутствует газовая инфраструктура.</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Значение показателей удельной величины потребления энергетических ресурсов муниципальными бюджетными учреждениями в 2023 году, за исключением удельного потребления электрической энергии, варьируется на уровне 2022 (разница не превышает 1%), удельное потребление электрической энергией отличается от 2022 года на 9,2%, что обусловлено увеличением продолжительности работы некоторых учебных заведений по отношению к 2022 году, в 2023году МБОУ СОШ №2 осуществляет прием учеников в 2 смены, в связи с закрытием Кадетского корпуса на ремонт (краевое бюджетное учреждение).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прогнозируемом периоде 2023-2025 годов показатели определены с учетом изменения среднегодовой численности постоянного населения городского округа.</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tbl>
      <w:tblPr>
        <w:tblW w:w="9776" w:type="dxa"/>
        <w:jc w:val="left"/>
        <w:tblInd w:w="118" w:type="dxa"/>
        <w:tblLayout w:type="fixed"/>
        <w:tblCellMar>
          <w:top w:w="0" w:type="dxa"/>
          <w:left w:w="108" w:type="dxa"/>
          <w:bottom w:w="0" w:type="dxa"/>
          <w:right w:w="108" w:type="dxa"/>
        </w:tblCellMar>
      </w:tblPr>
      <w:tblGrid>
        <w:gridCol w:w="4247"/>
        <w:gridCol w:w="1134"/>
        <w:gridCol w:w="1134"/>
        <w:gridCol w:w="1093"/>
        <w:gridCol w:w="1093"/>
        <w:gridCol w:w="1074"/>
      </w:tblGrid>
      <w:tr>
        <w:trPr>
          <w:trHeight w:val="300" w:hRule="atLeast"/>
        </w:trPr>
        <w:tc>
          <w:tcPr>
            <w:tcW w:w="42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Наименование показателя и единицы измерения</w:t>
            </w:r>
          </w:p>
        </w:tc>
        <w:tc>
          <w:tcPr>
            <w:tcW w:w="5528" w:type="dxa"/>
            <w:gridSpan w:val="5"/>
            <w:tcBorders>
              <w:top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Значения показателя</w:t>
            </w:r>
          </w:p>
        </w:tc>
      </w:tr>
      <w:tr>
        <w:trPr>
          <w:trHeight w:val="698" w:hRule="atLeast"/>
        </w:trPr>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rFonts w:ascii="Times New Roman CYR" w:hAnsi="Times New Roman CYR" w:cs="Times New Roman CYR"/>
                <w:color w:val="000000"/>
                <w:kern w:val="0"/>
              </w:rPr>
            </w:pPr>
            <w:r>
              <w:rPr>
                <w:rFonts w:cs="Times New Roman CYR" w:ascii="Times New Roman CYR" w:hAnsi="Times New Roman CYR"/>
                <w:color w:val="000000"/>
                <w:kern w:val="0"/>
              </w:rPr>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2022 факт</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2023 факт</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2024 прогноз</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2025 прогноз</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cs="Times New Roman CYR" w:ascii="Times New Roman CYR" w:hAnsi="Times New Roman CYR"/>
                <w:color w:val="000000"/>
                <w:kern w:val="0"/>
              </w:rPr>
              <w:t>2025 прогноз</w:t>
            </w:r>
          </w:p>
        </w:tc>
      </w:tr>
      <w:tr>
        <w:trPr>
          <w:trHeight w:val="57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000000"/>
                <w:kern w:val="0"/>
              </w:rPr>
              <w:t>39.1. Потребление электрической энергии, кВт·ч</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83,34</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91,03</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91,64</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92,21</w:t>
            </w:r>
          </w:p>
        </w:tc>
        <w:tc>
          <w:tcPr>
            <w:tcW w:w="10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92,77</w:t>
            </w:r>
          </w:p>
        </w:tc>
      </w:tr>
      <w:tr>
        <w:trPr>
          <w:trHeight w:val="90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объем потребленной (израсходованной) электрической энергии муниципальными учреждениями, кВтч</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3783930</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3721273</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3721273</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3721273</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3721273</w:t>
            </w:r>
          </w:p>
        </w:tc>
      </w:tr>
      <w:tr>
        <w:trPr>
          <w:trHeight w:val="619"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C00000"/>
                <w:kern w:val="0"/>
              </w:rPr>
              <w:t>среднегодовая</w:t>
            </w:r>
            <w:r>
              <w:rPr>
                <w:rFonts w:cs="Times New Roman CYR" w:ascii="Times New Roman CYR" w:hAnsi="Times New Roman CYR"/>
                <w:color w:val="000000"/>
                <w:kern w:val="0"/>
              </w:rPr>
              <w:t xml:space="preserve"> численность постоянного населения городского округа, чел.</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45 364</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40 881</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kern w:val="0"/>
                <w:sz w:val="20"/>
                <w:szCs w:val="20"/>
              </w:rPr>
              <w:t>40 610</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kern w:val="0"/>
                <w:sz w:val="20"/>
                <w:szCs w:val="20"/>
              </w:rPr>
              <w:t>40 356</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kern w:val="0"/>
                <w:sz w:val="20"/>
                <w:szCs w:val="20"/>
              </w:rPr>
              <w:t>40 114</w:t>
            </w:r>
          </w:p>
        </w:tc>
      </w:tr>
      <w:tr>
        <w:trPr>
          <w:trHeight w:val="57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000000"/>
                <w:kern w:val="0"/>
              </w:rPr>
              <w:t>39.2. Потребление тепловой энергии, Гкал на 1 кв. метр общей площади</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0,16</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0,17</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0,17</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0,17</w:t>
            </w:r>
          </w:p>
        </w:tc>
        <w:tc>
          <w:tcPr>
            <w:tcW w:w="10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0,17</w:t>
            </w:r>
          </w:p>
        </w:tc>
      </w:tr>
      <w:tr>
        <w:trPr>
          <w:trHeight w:val="706"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суммарное количество тепловой энергии, потребленной муниципальными учреждениями, Гкал</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23333,67</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26299,24</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26299,24</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26299,24</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26299,24</w:t>
            </w:r>
          </w:p>
        </w:tc>
      </w:tr>
      <w:tr>
        <w:trPr>
          <w:trHeight w:val="60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общая площадь муниципальных учреждений, кв.м</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153180,35</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153180,35</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153180,35</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153180,35</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105"/>
              <w:jc w:val="center"/>
              <w:rPr/>
            </w:pPr>
            <w:r>
              <w:rPr>
                <w:rFonts w:ascii="Times New Roman" w:hAnsi="Times New Roman"/>
                <w:color w:val="000000"/>
                <w:kern w:val="0"/>
                <w:sz w:val="20"/>
                <w:szCs w:val="20"/>
              </w:rPr>
              <w:t>153180,35</w:t>
            </w:r>
          </w:p>
        </w:tc>
      </w:tr>
      <w:tr>
        <w:trPr>
          <w:trHeight w:val="30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000000"/>
                <w:kern w:val="0"/>
              </w:rPr>
              <w:t>39.3. Потребление горячей воды, куб. м</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0,41</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0,41</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0,41</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0,42</w:t>
            </w:r>
          </w:p>
        </w:tc>
        <w:tc>
          <w:tcPr>
            <w:tcW w:w="10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0,42</w:t>
            </w:r>
          </w:p>
        </w:tc>
      </w:tr>
      <w:tr>
        <w:trPr>
          <w:trHeight w:val="86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объем потребленной (израсходованной) горячей воды муниципальными учреждениями, куб.м</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17351,85</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16787,85</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16787,85</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16787,85</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16787,85</w:t>
            </w:r>
          </w:p>
        </w:tc>
      </w:tr>
      <w:tr>
        <w:trPr>
          <w:trHeight w:val="417"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C00000"/>
                <w:kern w:val="0"/>
              </w:rPr>
              <w:t>среднегодовая</w:t>
            </w:r>
            <w:r>
              <w:rPr>
                <w:rFonts w:cs="Times New Roman CYR" w:ascii="Times New Roman CYR" w:hAnsi="Times New Roman CYR"/>
                <w:color w:val="000000"/>
                <w:kern w:val="0"/>
              </w:rPr>
              <w:t xml:space="preserve"> численность постоянного населения городского округа, чел.</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41320</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40881</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40557</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40191</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39786</w:t>
            </w:r>
          </w:p>
        </w:tc>
      </w:tr>
      <w:tr>
        <w:trPr>
          <w:trHeight w:val="300"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113"/>
              <w:jc w:val="left"/>
              <w:rPr/>
            </w:pPr>
            <w:r>
              <w:rPr>
                <w:rFonts w:cs="Times New Roman CYR" w:ascii="Times New Roman CYR" w:hAnsi="Times New Roman CYR"/>
                <w:b/>
                <w:bCs/>
                <w:color w:val="000000"/>
                <w:kern w:val="0"/>
              </w:rPr>
              <w:t>39.4. Потребление холодной воды, куб. м</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0,83</w:t>
            </w:r>
          </w:p>
        </w:tc>
        <w:tc>
          <w:tcPr>
            <w:tcW w:w="113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0,85</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0,85</w:t>
            </w:r>
          </w:p>
        </w:tc>
        <w:tc>
          <w:tcPr>
            <w:tcW w:w="1093"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0,86</w:t>
            </w:r>
          </w:p>
        </w:tc>
        <w:tc>
          <w:tcPr>
            <w:tcW w:w="1074" w:type="dxa"/>
            <w:tcBorders>
              <w:bottom w:val="single" w:sz="4" w:space="0" w:color="000000"/>
              <w:right w:val="single" w:sz="4" w:space="0" w:color="000000"/>
            </w:tcBorders>
            <w:shd w:color="auto" w:fill="D9D9D9"/>
            <w:vAlign w:val="center"/>
          </w:tcPr>
          <w:p>
            <w:pPr>
              <w:pStyle w:val="Normal"/>
              <w:widowControl w:val="false"/>
              <w:tabs>
                <w:tab w:val="clear" w:pos="720"/>
              </w:tabs>
              <w:bidi w:val="0"/>
              <w:spacing w:before="0" w:after="0"/>
              <w:ind w:firstLine="22" w:left="0" w:right="0"/>
              <w:jc w:val="center"/>
              <w:rPr/>
            </w:pPr>
            <w:r>
              <w:rPr>
                <w:rFonts w:ascii="Times New Roman" w:hAnsi="Times New Roman"/>
                <w:b/>
                <w:bCs/>
                <w:color w:val="000000"/>
                <w:kern w:val="0"/>
                <w:sz w:val="20"/>
                <w:szCs w:val="20"/>
              </w:rPr>
              <w:t>0,86</w:t>
            </w:r>
          </w:p>
        </w:tc>
      </w:tr>
      <w:tr>
        <w:trPr>
          <w:trHeight w:val="713"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color w:val="000000"/>
                <w:kern w:val="0"/>
              </w:rPr>
              <w:t>объем потребленной (израсходованной) холодной воды муниципальными учреждениями, куб.м</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36115,79</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34657,02</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34657,02</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34657,02</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34657,02</w:t>
            </w:r>
          </w:p>
        </w:tc>
      </w:tr>
      <w:tr>
        <w:trPr>
          <w:trHeight w:val="615" w:hRule="atLeast"/>
        </w:trPr>
        <w:tc>
          <w:tcPr>
            <w:tcW w:w="4247" w:type="dxa"/>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left"/>
              <w:rPr/>
            </w:pPr>
            <w:r>
              <w:rPr>
                <w:rFonts w:cs="Times New Roman CYR" w:ascii="Times New Roman CYR" w:hAnsi="Times New Roman CYR"/>
                <w:b/>
                <w:bCs/>
                <w:color w:val="C00000"/>
                <w:kern w:val="0"/>
              </w:rPr>
              <w:t>среднегодовая</w:t>
            </w:r>
            <w:r>
              <w:rPr>
                <w:rFonts w:cs="Times New Roman CYR" w:ascii="Times New Roman CYR" w:hAnsi="Times New Roman CYR"/>
                <w:color w:val="000000"/>
                <w:kern w:val="0"/>
              </w:rPr>
              <w:t xml:space="preserve"> численность постоянного населения городского округа, чел.</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41320</w:t>
            </w:r>
          </w:p>
        </w:tc>
        <w:tc>
          <w:tcPr>
            <w:tcW w:w="113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40881</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40557</w:t>
            </w:r>
          </w:p>
        </w:tc>
        <w:tc>
          <w:tcPr>
            <w:tcW w:w="1093"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40191</w:t>
            </w:r>
          </w:p>
        </w:tc>
        <w:tc>
          <w:tcPr>
            <w:tcW w:w="1074" w:type="dxa"/>
            <w:tcBorders>
              <w:bottom w:val="single" w:sz="4" w:space="0" w:color="000000"/>
              <w:right w:val="single" w:sz="4" w:space="0" w:color="000000"/>
            </w:tcBorders>
            <w:vAlign w:val="center"/>
          </w:tcPr>
          <w:p>
            <w:pPr>
              <w:pStyle w:val="Normal"/>
              <w:widowControl w:val="false"/>
              <w:tabs>
                <w:tab w:val="clear" w:pos="720"/>
              </w:tabs>
              <w:bidi w:val="0"/>
              <w:spacing w:before="0" w:after="0"/>
              <w:ind w:firstLine="22" w:left="0" w:right="0"/>
              <w:jc w:val="center"/>
              <w:rPr/>
            </w:pPr>
            <w:r>
              <w:rPr>
                <w:rFonts w:ascii="Times New Roman" w:hAnsi="Times New Roman"/>
                <w:color w:val="000000"/>
                <w:kern w:val="0"/>
                <w:sz w:val="20"/>
                <w:szCs w:val="20"/>
              </w:rPr>
              <w:t>39786</w:t>
            </w:r>
          </w:p>
        </w:tc>
      </w:tr>
    </w:tbl>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Показатели удельной величины потребления природного газа равны "0", так как на территории городского округа отсутствует инфраструктура.</w:t>
      </w:r>
    </w:p>
    <w:p>
      <w:pPr>
        <w:pStyle w:val="Normal"/>
        <w:widowControl w:val="false"/>
        <w:bidi w:val="0"/>
        <w:spacing w:before="0" w:after="0"/>
        <w:ind w:firstLine="709"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b/>
          <w:bCs/>
          <w:color w:val="000000"/>
          <w:kern w:val="0"/>
          <w:sz w:val="28"/>
          <w:szCs w:val="28"/>
        </w:rPr>
      </w:pPr>
      <w:r>
        <w:rPr>
          <w:rFonts w:cs="Times New Roman CYR" w:ascii="Times New Roman CYR" w:hAnsi="Times New Roman CYR"/>
          <w:b/>
          <w:bCs/>
          <w:color w:val="000000"/>
          <w:kern w:val="0"/>
          <w:sz w:val="28"/>
          <w:szCs w:val="28"/>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X. Независимая оценка</w:t>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color w:val="000000"/>
          <w:kern w:val="0"/>
          <w:sz w:val="12"/>
          <w:szCs w:val="12"/>
        </w:rPr>
      </w:r>
    </w:p>
    <w:p>
      <w:pPr>
        <w:pStyle w:val="Normal"/>
        <w:widowControl w:val="false"/>
        <w:bidi w:val="0"/>
        <w:spacing w:before="0" w:after="0"/>
        <w:ind w:firstLine="709" w:left="0" w:right="0"/>
        <w:jc w:val="both"/>
        <w:rPr>
          <w:rFonts w:ascii="Times New Roman CYR" w:hAnsi="Times New Roman CYR" w:cs="Times New Roman CYR"/>
          <w:color w:val="000000"/>
          <w:kern w:val="0"/>
          <w:sz w:val="12"/>
          <w:szCs w:val="12"/>
        </w:rPr>
      </w:pPr>
      <w:r>
        <w:rPr>
          <w:rFonts w:cs="Times New Roman CYR" w:ascii="Times New Roman CYR" w:hAnsi="Times New Roman CYR"/>
          <w:b/>
          <w:bCs/>
          <w:color w:val="000000"/>
          <w:kern w:val="0"/>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b/>
          <w:bCs/>
          <w:color w:val="000000"/>
          <w:kern w:val="0"/>
          <w:sz w:val="28"/>
          <w:szCs w:val="28"/>
        </w:rPr>
        <w:t>«</w:t>
      </w:r>
      <w:r>
        <w:rPr>
          <w:rFonts w:cs="Times New Roman CYR" w:ascii="Times New Roman CYR" w:hAnsi="Times New Roman CYR"/>
          <w:b/>
          <w:bCs/>
          <w:color w:val="000000"/>
          <w:kern w:val="0"/>
          <w:sz w:val="28"/>
          <w:szCs w:val="28"/>
        </w:rPr>
        <w:t>Интернет</w:t>
      </w:r>
      <w:r>
        <w:rPr>
          <w:rFonts w:ascii="Times New Roman" w:hAnsi="Times New Roman"/>
          <w:b/>
          <w:bCs/>
          <w:color w:val="000000"/>
          <w:kern w:val="0"/>
          <w:sz w:val="28"/>
          <w:szCs w:val="28"/>
        </w:rPr>
        <w:t>») (</w:t>
      </w:r>
      <w:r>
        <w:rPr>
          <w:rFonts w:cs="Times New Roman CYR" w:ascii="Times New Roman CYR" w:hAnsi="Times New Roman CYR"/>
          <w:b/>
          <w:bCs/>
          <w:color w:val="000000"/>
          <w:kern w:val="0"/>
          <w:sz w:val="28"/>
          <w:szCs w:val="28"/>
        </w:rPr>
        <w:t>при наличии)</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2023 году была проведена независимая оценка качества оказания услуг муниципальными организациями в сфере культуры. Показатель «Результаты независимой оценки» составил 89,86 баллов.</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center"/>
        <w:rPr>
          <w:rFonts w:ascii="Times New Roman CYR" w:hAnsi="Times New Roman CYR" w:cs="Times New Roman CYR"/>
          <w:kern w:val="0"/>
          <w:sz w:val="28"/>
          <w:szCs w:val="28"/>
        </w:rPr>
      </w:pPr>
      <w:r>
        <w:rPr>
          <w:rFonts w:cs="Times New Roman CYR" w:ascii="Times New Roman CYR" w:hAnsi="Times New Roman CYR"/>
          <w:kern w:val="0"/>
          <w:sz w:val="28"/>
          <w:szCs w:val="28"/>
        </w:rPr>
        <w:t>Независимая оценка проводилась в учреждениях:</w:t>
      </w:r>
    </w:p>
    <w:tbl>
      <w:tblPr>
        <w:tblW w:w="9408" w:type="dxa"/>
        <w:jc w:val="center"/>
        <w:tblInd w:w="0" w:type="dxa"/>
        <w:tblLayout w:type="fixed"/>
        <w:tblCellMar>
          <w:top w:w="0" w:type="dxa"/>
          <w:left w:w="108" w:type="dxa"/>
          <w:bottom w:w="0" w:type="dxa"/>
          <w:right w:w="108" w:type="dxa"/>
        </w:tblCellMar>
      </w:tblPr>
      <w:tblGrid>
        <w:gridCol w:w="633"/>
        <w:gridCol w:w="6104"/>
        <w:gridCol w:w="2671"/>
      </w:tblGrid>
      <w:tr>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sz w:val="24"/>
                <w:szCs w:val="24"/>
              </w:rPr>
              <w:t xml:space="preserve">№ </w:t>
            </w:r>
            <w:r>
              <w:rPr>
                <w:rFonts w:cs="Times New Roman CYR" w:ascii="Times New Roman CYR" w:hAnsi="Times New Roman CYR"/>
                <w:kern w:val="0"/>
                <w:sz w:val="24"/>
                <w:szCs w:val="24"/>
              </w:rPr>
              <w:t>п/п</w:t>
            </w:r>
          </w:p>
        </w:tc>
        <w:tc>
          <w:tcPr>
            <w:tcW w:w="61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sz w:val="24"/>
                <w:szCs w:val="24"/>
              </w:rPr>
              <w:t>Наименование организации, в отношении которой проведена независимая оценка качества за отчетный год</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sz w:val="24"/>
                <w:szCs w:val="24"/>
              </w:rPr>
              <w:t>Значение показателя оценки качества по организации</w:t>
            </w:r>
          </w:p>
        </w:tc>
      </w:tr>
      <w:tr>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1</w:t>
            </w:r>
          </w:p>
        </w:tc>
        <w:tc>
          <w:tcPr>
            <w:tcW w:w="61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МАУ «Центр культурного развития г. Шарыпово»</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97,56 баллов</w:t>
            </w:r>
          </w:p>
        </w:tc>
      </w:tr>
      <w:tr>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2</w:t>
            </w:r>
          </w:p>
        </w:tc>
        <w:tc>
          <w:tcPr>
            <w:tcW w:w="61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МАУ «Городской драматический театр»</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75,80 баллов</w:t>
            </w:r>
          </w:p>
        </w:tc>
      </w:tr>
      <w:tr>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3</w:t>
            </w:r>
          </w:p>
        </w:tc>
        <w:tc>
          <w:tcPr>
            <w:tcW w:w="61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МБУ «Краеведческий музей г. Шарыпово»</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88,70 баллов</w:t>
            </w:r>
          </w:p>
        </w:tc>
      </w:tr>
      <w:tr>
        <w:trPr/>
        <w:tc>
          <w:tcPr>
            <w:tcW w:w="6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4</w:t>
            </w:r>
          </w:p>
        </w:tc>
        <w:tc>
          <w:tcPr>
            <w:tcW w:w="61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rFonts w:ascii="Times New Roman CYR" w:hAnsi="Times New Roman CYR" w:cs="Times New Roman CYR"/>
                <w:kern w:val="0"/>
                <w:sz w:val="24"/>
                <w:szCs w:val="24"/>
              </w:rPr>
            </w:pPr>
            <w:r>
              <w:rPr>
                <w:rFonts w:cs="Times New Roman CYR" w:ascii="Times New Roman CYR" w:hAnsi="Times New Roman CYR"/>
                <w:kern w:val="0"/>
                <w:sz w:val="24"/>
                <w:szCs w:val="24"/>
              </w:rPr>
              <w:t xml:space="preserve">МБУ «Централизованная библиотечная система </w:t>
            </w:r>
          </w:p>
          <w:p>
            <w:pPr>
              <w:pStyle w:val="Normal"/>
              <w:widowControl w:val="false"/>
              <w:bidi w:val="0"/>
              <w:spacing w:before="0" w:after="0"/>
              <w:ind w:hanging="0" w:left="0" w:right="0"/>
              <w:jc w:val="both"/>
              <w:rPr/>
            </w:pPr>
            <w:r>
              <w:rPr>
                <w:rFonts w:cs="Times New Roman CYR" w:ascii="Times New Roman CYR" w:hAnsi="Times New Roman CYR"/>
                <w:kern w:val="0"/>
                <w:sz w:val="24"/>
                <w:szCs w:val="24"/>
              </w:rPr>
              <w:t>г. Шарыпово»</w:t>
            </w:r>
          </w:p>
        </w:tc>
        <w:tc>
          <w:tcPr>
            <w:tcW w:w="267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97,38 баллов</w:t>
            </w:r>
          </w:p>
        </w:tc>
      </w:tr>
    </w:tbl>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Показатель оценки качества сферы образования в городе Шарыпово в 2023 году по результатам оценки качества десяти дошкольных образовательных учреждений города составил 89,3 балла из 100 возможных. Значение показателя дает усредненную (по всем обследованным образовательным организациям, находящимся на территории города) величину качества предоставляемых услуг и свидетельствует, что качества условий осуществления образовательной деятельности в городе находится на высоком уровне. Показатель 2023 года на 8,23 балла выше показателя 2022 года (81,07 балла).</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По результатам обследования и опроса родителей (законных представителей) такие неотъемлемые характеристики качественного предоставления услуг, как открытость и доступность информации об образовательной организации, доброжелательность, вежливость работников образовательных организаций и удовлетворенность условиями оказания услуг, проведенного в рамках оценки качества образовательных услуг, находятся на высоком уровне. Эти критерии приближаются к максимально возможным показателям. </w:t>
      </w:r>
    </w:p>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В то время как, среднее значение групп показателей «Доступность услуг для инвалидов» принимает наименьшее значение среди всех разделов (61,26 балла из 100 максимально возможных). Таким образом, требуется определенная работа по улучшению ряда критериев именно этой группы.</w:t>
      </w:r>
    </w:p>
    <w:tbl>
      <w:tblPr>
        <w:tblW w:w="9355" w:type="dxa"/>
        <w:jc w:val="left"/>
        <w:tblInd w:w="113" w:type="dxa"/>
        <w:tblLayout w:type="fixed"/>
        <w:tblCellMar>
          <w:top w:w="0" w:type="dxa"/>
          <w:left w:w="108" w:type="dxa"/>
          <w:bottom w:w="0" w:type="dxa"/>
          <w:right w:w="108" w:type="dxa"/>
        </w:tblCellMar>
      </w:tblPr>
      <w:tblGrid>
        <w:gridCol w:w="709"/>
        <w:gridCol w:w="5385"/>
        <w:gridCol w:w="3261"/>
      </w:tblGrid>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both"/>
              <w:rPr/>
            </w:pPr>
            <w:r>
              <w:rPr>
                <w:rFonts w:cs="Times New Roman CYR" w:ascii="Times New Roman CYR" w:hAnsi="Times New Roman CYR"/>
                <w:kern w:val="0"/>
                <w:sz w:val="24"/>
                <w:szCs w:val="24"/>
              </w:rPr>
              <w:t xml:space="preserve">№ </w:t>
            </w:r>
            <w:r>
              <w:rPr>
                <w:rFonts w:cs="Times New Roman CYR" w:ascii="Times New Roman CYR" w:hAnsi="Times New Roman CYR"/>
                <w:kern w:val="0"/>
                <w:sz w:val="24"/>
                <w:szCs w:val="24"/>
              </w:rPr>
              <w:t>п/п</w:t>
            </w:r>
          </w:p>
        </w:tc>
        <w:tc>
          <w:tcPr>
            <w:tcW w:w="53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both"/>
              <w:rPr/>
            </w:pPr>
            <w:r>
              <w:rPr>
                <w:rFonts w:cs="Times New Roman CYR" w:ascii="Times New Roman CYR" w:hAnsi="Times New Roman CYR"/>
                <w:kern w:val="0"/>
                <w:sz w:val="24"/>
                <w:szCs w:val="24"/>
              </w:rPr>
              <w:t>Наименование организации, в отношении которой проведена независимая оценка качества за отчетный год</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sz w:val="24"/>
                <w:szCs w:val="24"/>
              </w:rPr>
              <w:t>Значение показателя оценки качества по организации</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both"/>
              <w:rPr/>
            </w:pPr>
            <w:r>
              <w:rPr>
                <w:rFonts w:cs="Times New Roman CYR" w:ascii="Times New Roman CYR" w:hAnsi="Times New Roman CYR"/>
                <w:kern w:val="0"/>
                <w:sz w:val="24"/>
                <w:szCs w:val="24"/>
              </w:rPr>
              <w:t>1.</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hanging="0" w:left="0" w:right="0"/>
              <w:jc w:val="both"/>
              <w:rPr/>
            </w:pPr>
            <w:r>
              <w:rPr>
                <w:rFonts w:cs="Times New Roman CYR" w:ascii="Times New Roman CYR" w:hAnsi="Times New Roman CYR"/>
                <w:kern w:val="0"/>
                <w:sz w:val="24"/>
                <w:szCs w:val="24"/>
              </w:rPr>
              <w:t>МАДОУ №1 «Белоснежка»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hanging="0" w:left="0" w:right="0"/>
              <w:jc w:val="center"/>
              <w:rPr/>
            </w:pPr>
            <w:r>
              <w:rPr>
                <w:rFonts w:cs="Times New Roman CYR" w:ascii="Times New Roman CYR" w:hAnsi="Times New Roman CYR"/>
                <w:kern w:val="0"/>
                <w:sz w:val="24"/>
                <w:szCs w:val="24"/>
              </w:rPr>
              <w:t>94,10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2.</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№2 «Дюймовочка»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87,94</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3.</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№3 «Чебурашка»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94,20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4.</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№4 «Росинка»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89,90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5.</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№5 «Дельфин»</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93,10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6.</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МАДОУ №6 «Золушка»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88,10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7.</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№8 «Теремок»</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80,74</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8.</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№15 «Ромашка»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86,76</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9.</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№21 «Золотой ключик»</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88,30</w:t>
            </w:r>
          </w:p>
        </w:tc>
      </w:tr>
      <w:tr>
        <w:trPr>
          <w:trHeight w:val="33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10.</w:t>
            </w:r>
          </w:p>
        </w:tc>
        <w:tc>
          <w:tcPr>
            <w:tcW w:w="53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hanging="0" w:left="0" w:right="0"/>
              <w:jc w:val="both"/>
              <w:rPr/>
            </w:pPr>
            <w:r>
              <w:rPr>
                <w:rFonts w:cs="Times New Roman CYR" w:ascii="Times New Roman CYR" w:hAnsi="Times New Roman CYR"/>
                <w:kern w:val="0"/>
                <w:sz w:val="24"/>
                <w:szCs w:val="24"/>
              </w:rPr>
              <w:t>МБДОУ №22 «Журавушка»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hanging="0" w:left="0" w:right="0"/>
              <w:jc w:val="center"/>
              <w:rPr/>
            </w:pPr>
            <w:r>
              <w:rPr>
                <w:rFonts w:cs="Times New Roman CYR" w:ascii="Times New Roman CYR" w:hAnsi="Times New Roman CYR"/>
                <w:kern w:val="0"/>
                <w:sz w:val="24"/>
                <w:szCs w:val="24"/>
              </w:rPr>
              <w:t>89,88</w:t>
            </w:r>
          </w:p>
        </w:tc>
      </w:tr>
    </w:tbl>
    <w:p>
      <w:pPr>
        <w:pStyle w:val="Normal"/>
        <w:widowControl w:val="false"/>
        <w:bidi w:val="0"/>
        <w:spacing w:before="0" w:after="0"/>
        <w:ind w:firstLine="709"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 xml:space="preserve">Начальник отдела </w:t>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экономики и планирования</w:t>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t>Администрации города Шарыпово                                                            Е.Н. Орлова</w:t>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p>
      <w:pPr>
        <w:pStyle w:val="Normal"/>
        <w:widowControl w:val="false"/>
        <w:bidi w:val="0"/>
        <w:spacing w:before="0" w:after="0"/>
        <w:ind w:hanging="0" w:left="0" w:right="0"/>
        <w:jc w:val="both"/>
        <w:rPr>
          <w:rFonts w:ascii="Times New Roman CYR" w:hAnsi="Times New Roman CYR" w:cs="Times New Roman CYR"/>
          <w:kern w:val="0"/>
          <w:sz w:val="18"/>
          <w:szCs w:val="18"/>
        </w:rPr>
      </w:pPr>
      <w:r>
        <w:rPr>
          <w:rFonts w:cs="Times New Roman CYR" w:ascii="Times New Roman CYR" w:hAnsi="Times New Roman CYR"/>
          <w:kern w:val="0"/>
          <w:sz w:val="18"/>
          <w:szCs w:val="18"/>
        </w:rPr>
        <w:t>Ильиных Наталья Александровна</w:t>
      </w:r>
    </w:p>
    <w:p>
      <w:pPr>
        <w:pStyle w:val="Normal"/>
        <w:widowControl w:val="false"/>
        <w:bidi w:val="0"/>
        <w:spacing w:before="0" w:after="0"/>
        <w:ind w:hanging="0" w:left="0" w:right="0"/>
        <w:jc w:val="both"/>
        <w:rPr>
          <w:rFonts w:ascii="Times New Roman CYR" w:hAnsi="Times New Roman CYR" w:cs="Times New Roman CYR"/>
          <w:kern w:val="0"/>
          <w:sz w:val="18"/>
          <w:szCs w:val="18"/>
        </w:rPr>
      </w:pPr>
      <w:r>
        <w:rPr>
          <w:rFonts w:cs="Times New Roman CYR" w:ascii="Times New Roman CYR" w:hAnsi="Times New Roman CYR"/>
          <w:kern w:val="0"/>
          <w:sz w:val="18"/>
          <w:szCs w:val="18"/>
        </w:rPr>
        <w:t>8(39153)2-11-92</w:t>
      </w:r>
    </w:p>
    <w:p>
      <w:pPr>
        <w:pStyle w:val="Normal"/>
        <w:widowControl w:val="false"/>
        <w:bidi w:val="0"/>
        <w:spacing w:before="0" w:after="0"/>
        <w:ind w:hanging="0" w:left="0" w:right="0"/>
        <w:jc w:val="both"/>
        <w:rPr>
          <w:rFonts w:ascii="Times New Roman CYR" w:hAnsi="Times New Roman CYR" w:cs="Times New Roman CYR"/>
          <w:kern w:val="0"/>
          <w:sz w:val="28"/>
          <w:szCs w:val="28"/>
        </w:rPr>
      </w:pPr>
      <w:r>
        <w:rPr>
          <w:rFonts w:cs="Times New Roman CYR" w:ascii="Times New Roman CYR" w:hAnsi="Times New Roman CYR"/>
          <w:kern w:val="0"/>
          <w:sz w:val="28"/>
          <w:szCs w:val="28"/>
        </w:rPr>
      </w:r>
    </w:p>
    <w:sectPr>
      <w:type w:val="nextPage"/>
      <w:pgSz w:w="12240" w:h="15840"/>
      <w:pgMar w:left="1701" w:right="85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CYR">
    <w:charset w:val="cc"/>
    <w:family w:val="roman"/>
    <w:pitch w:val="variable"/>
  </w:font>
  <w:font w:name="TimesNewRomanPSM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LibreOffice/7.6.4.1$Windows_X86_64 LibreOffice_project/e19e193f88cd6c0525a17fb7a176ed8e6a3e2aa1</Application>
  <AppVersion>15.0000</AppVersion>
  <Pages>34</Pages>
  <Words>9144</Words>
  <Characters>62459</Characters>
  <CharactersWithSpaces>70861</CharactersWithSpace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2024-04-24T11:06:00Z</dcterms:created>
  <dc:creator/>
  <dc:description/>
  <dc:language>ru-RU</dc:language>
  <cp:lastModifiedBy/>
  <cp:lastPrinted>2024-04-26T11:19:00Z</cp:lastPrinted>
  <dcterms:modified xsi:type="dcterms:W3CDTF">2024-05-21T16:19:00Z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a21022</vt:lpwstr>
  </property>
</Properties>
</file>