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before="0" w:after="0"/>
        <w:ind w:left="0" w:right="0" w:hanging="0"/>
        <w:jc w:val="center"/>
        <w:rPr>
          <w:rFonts w:ascii="Times New Roman" w:hAnsi="Times New Roman"/>
          <w:sz w:val="20"/>
          <w:szCs w:val="20"/>
        </w:rPr>
      </w:pPr>
      <w:r>
        <w:rPr>
          <w:rFonts w:ascii="Times New Roman" w:hAnsi="Times New Roman"/>
          <w:b/>
          <w:bCs/>
          <w:sz w:val="28"/>
          <w:szCs w:val="28"/>
        </w:rPr>
        <w:t xml:space="preserve">Пояснительная записка к докладу Главы города Шарыпово </w:t>
      </w:r>
    </w:p>
    <w:p>
      <w:pPr>
        <w:pStyle w:val="Normal"/>
        <w:bidi w:val="0"/>
        <w:spacing w:before="0" w:after="0"/>
        <w:ind w:left="0" w:right="0" w:hanging="0"/>
        <w:jc w:val="center"/>
        <w:rPr>
          <w:rFonts w:ascii="Times New Roman" w:hAnsi="Times New Roman"/>
          <w:b/>
          <w:bCs/>
          <w:sz w:val="28"/>
          <w:szCs w:val="28"/>
        </w:rPr>
      </w:pPr>
      <w:r>
        <w:rPr>
          <w:rFonts w:ascii="Times New Roman" w:hAnsi="Times New Roman"/>
          <w:b/>
          <w:bCs/>
          <w:sz w:val="28"/>
          <w:szCs w:val="28"/>
        </w:rPr>
        <w:t>о достигнутых значениях показателей для оценки эффективности деятельности органов местного самоуправления городского округа Шарыпово за 2019 год и их планируемых значениях на 3-летний период</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6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 xml:space="preserve">I. Экономическое развитие </w:t>
      </w:r>
    </w:p>
    <w:p>
      <w:pPr>
        <w:pStyle w:val="Normal"/>
        <w:bidi w:val="0"/>
        <w:spacing w:before="0" w:after="6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Город Шарыпово - образован на месте села Шарыповское 31 июля 1981 года Указом Президиума Верховного Совета Российской Федерации.</w:t>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Муниципальное образование город Шарыпово, в состав которого входят городские населенные пункты: город Шарыпово,    поселок Горячегорск,    поселок Дубинино, наделено Законом Красноярского края от 25.02.2005 года №13-3131 «О наделении муниципального образования город Шарыпово    статусом городского округа» статусом городского округа в границах, установленных    Законом края от 21 октября 1997 года N 15-587 "Об утверждении границ г. Шарыпово Красноярского края".</w:t>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Расчет и планирование показателей произведено на основе Инструкции по подготовке Доклада, направленной министерством экономики и регионального развития Красноярского края.</w:t>
      </w:r>
    </w:p>
    <w:p>
      <w:pPr>
        <w:pStyle w:val="Normal"/>
        <w:bidi w:val="0"/>
        <w:spacing w:before="0" w:after="6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Прогнозирование осуществлено с использованием официальных отчетных данных Территориального органа Федеральной службы государственной статистики по Красноярскому краю. При расчетах учтены индексы потребительских цен: 2019 год – 104,3%, 2020 год – 103,2%, 2021 год – 103,9%.</w:t>
      </w:r>
    </w:p>
    <w:p>
      <w:pPr>
        <w:pStyle w:val="Normal"/>
        <w:widowControl w:val="false"/>
        <w:bidi w:val="0"/>
        <w:spacing w:before="0" w:after="60"/>
        <w:ind w:left="0" w:right="0" w:hanging="0"/>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r>
    </w:p>
    <w:p>
      <w:pPr>
        <w:pStyle w:val="Normal"/>
        <w:widowControl w:val="false"/>
        <w:bidi w:val="0"/>
        <w:spacing w:before="0" w:after="6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1. Число субъектов малого и среднего предпринимательства</w:t>
      </w:r>
    </w:p>
    <w:p>
      <w:pPr>
        <w:pStyle w:val="Normal"/>
        <w:suppressAutoHyphens w:val="true"/>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Развитие малого и среднего предпринимательства в соответствии с программой социально-экономического развития города Шарыпово стало одним из приоритетных направлений в деятельности города. Всего на 10 000 жителей в 2019 году приходится 290,46 ед. субъектов малого и среднего предпринимательства (из расчета среднегодовой численности постоянного населения), уменьшение составило (-7,99 ед.)по сравнению с 2018 годом (298,45 ед.). Уменьшение данного показателя связано с уменьшением количества индивидуальных предпринимателей, на конец периода. Согласно оценке, плановые значения показателя «число субъектов малого предпринимательства в расчете на 10,0 тыс. человек населения» будут равны в 2020 – 2022 годах соответственно 289,54; 289,45 и 289,34 единиц.</w:t>
      </w:r>
    </w:p>
    <w:p>
      <w:pPr>
        <w:pStyle w:val="Normal"/>
        <w:widowControl w:val="false"/>
        <w:bidi w:val="0"/>
        <w:spacing w:before="0" w:after="0"/>
        <w:ind w:left="0" w:right="0" w:hanging="0"/>
        <w:jc w:val="both"/>
        <w:rPr>
          <w:rFonts w:ascii="Times New Roman CYR" w:hAnsi="Times New Roman CYR" w:cs="Times New Roman CYR"/>
          <w:sz w:val="28"/>
          <w:szCs w:val="28"/>
        </w:rPr>
      </w:pPr>
      <w:r>
        <w:rPr>
          <w:rFonts w:cs="Times New Roman CYR" w:ascii="Times New Roman CYR" w:hAnsi="Times New Roman CYR"/>
          <w:sz w:val="28"/>
          <w:szCs w:val="28"/>
        </w:rPr>
        <w:tab/>
        <w:t xml:space="preserve">На территории города по итогам 2019 года осуществляют предпринимательскую деятельность 1 среднее, 116 малых предприятия с общей численностью занятых 128 и 1878 человек.    Кроме этого, в городе зарегистрировано 1220 индивидуальных предпринимателей, что составляет 95,7% к уровню прошлого года (2018 г. - 1275 единиц, уменьшение составило 55 ед., темп снижения составил 4,3%). </w:t>
      </w:r>
    </w:p>
    <w:p>
      <w:pPr>
        <w:pStyle w:val="Normal"/>
        <w:widowControl w:val="false"/>
        <w:bidi w:val="0"/>
        <w:spacing w:before="0" w:after="60"/>
        <w:ind w:left="0" w:right="0" w:hanging="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6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pPr>
        <w:pStyle w:val="Normal"/>
        <w:suppressAutoHyphens w:val="true"/>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2019 г. показатель увеличился по сравнению с 2018 г. с 44,64 ед.  до 46,63 единиц. Увеличение показателя объясняется снижением среднесписочной численности работников (без внешних совместителей) крупных и средних предприятий в 2019 г. В 2020, 2021, 2022 (соответственно 46,55; 46,49; 46,47) годах ожидается незначительное уменьшение показателя в связи с уменьшением с</w:t>
      </w:r>
      <w:r>
        <w:rPr>
          <w:rFonts w:cs="Times New Roman CYR" w:ascii="Times New Roman CYR" w:hAnsi="Times New Roman CYR"/>
          <w:color w:val="000000"/>
          <w:sz w:val="28"/>
          <w:szCs w:val="28"/>
        </w:rPr>
        <w:t xml:space="preserve">реднесписочной численностью работников у индивидуальных предпринимателей (наемных работников) и среднесписочной численностью работников малых и микропредприятий, </w:t>
      </w:r>
      <w:r>
        <w:rPr>
          <w:rFonts w:cs="Times New Roman CYR" w:ascii="Times New Roman CYR" w:hAnsi="Times New Roman CYR"/>
          <w:sz w:val="28"/>
          <w:szCs w:val="28"/>
        </w:rPr>
        <w:t>связанное с экономическим кризисом.</w:t>
      </w:r>
    </w:p>
    <w:p>
      <w:pPr>
        <w:pStyle w:val="Normal"/>
        <w:suppressAutoHyphens w:val="true"/>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При том, что численность работников снижается, количество малых и микропредприятий, а также    количество </w:t>
      </w:r>
      <w:r>
        <w:rPr>
          <w:rFonts w:cs="Times New Roman CYR" w:ascii="Times New Roman CYR" w:hAnsi="Times New Roman CYR"/>
          <w:color w:val="000000"/>
          <w:sz w:val="28"/>
          <w:szCs w:val="28"/>
        </w:rPr>
        <w:t>индивидуальных предпринимателей остается практически на прежнем уровне с незначительным снижением в связи с тем, что н</w:t>
      </w:r>
      <w:r>
        <w:rPr>
          <w:rFonts w:cs="Times New Roman CYR" w:ascii="Times New Roman CYR" w:hAnsi="Times New Roman CYR"/>
          <w:sz w:val="28"/>
          <w:szCs w:val="28"/>
        </w:rPr>
        <w:t xml:space="preserve">а территории муниципального образования оказывается помощь безработным гражданам по программе    утвержденной    постановлением Правительства Красноярского края от 30.08.2012 № 429-п (в ред. от 27.08.2019 № 442-п) и п.п. 1.1.9 перечня мероприятий приложения 2 к подпрограмме «Активная политика занятости населения и социальная поддержка безработных граждан» государственной программы Красноярского края «Содействие занятости населения», утвержденной Постановлением Правительства Красноярского края от 30.09.2013 № 502-п. </w:t>
      </w:r>
    </w:p>
    <w:p>
      <w:pPr>
        <w:pStyle w:val="Normal"/>
        <w:widowControl w:val="false"/>
        <w:bidi w:val="0"/>
        <w:spacing w:before="0" w:after="0"/>
        <w:ind w:left="0" w:right="0" w:hanging="0"/>
        <w:jc w:val="both"/>
        <w:rPr>
          <w:rFonts w:ascii="Times New Roman CYR" w:hAnsi="Times New Roman CYR" w:cs="Times New Roman CYR"/>
          <w:sz w:val="28"/>
          <w:szCs w:val="28"/>
        </w:rPr>
      </w:pPr>
      <w:r>
        <w:rPr>
          <w:rFonts w:cs="Times New Roman CYR" w:ascii="Times New Roman CYR" w:hAnsi="Times New Roman CYR"/>
          <w:sz w:val="28"/>
          <w:szCs w:val="28"/>
        </w:rPr>
        <w:tab/>
        <w:t xml:space="preserve">Единовременную финансовую помощь получают безработные граждане при государственной регистрации в качестве юридического лица, индивидуального предпринимателя либо крестьянского (фермерского) хозяйства в размере 125600 (сто двадцать пять тысячи шестьсот) рублей. </w:t>
      </w:r>
    </w:p>
    <w:p>
      <w:pPr>
        <w:pStyle w:val="Normal"/>
        <w:widowControl w:val="false"/>
        <w:bidi w:val="0"/>
        <w:spacing w:before="0" w:after="0"/>
        <w:ind w:left="0" w:right="0" w:firstLine="720"/>
        <w:jc w:val="both"/>
        <w:rPr>
          <w:rFonts w:ascii="Times New Roman CYR" w:hAnsi="Times New Roman CYR" w:cs="Times New Roman CYR"/>
          <w:sz w:val="28"/>
          <w:szCs w:val="28"/>
        </w:rPr>
      </w:pPr>
      <w:r>
        <w:rPr>
          <w:rFonts w:cs="Times New Roman CYR" w:ascii="Times New Roman CYR" w:hAnsi="Times New Roman CYR"/>
          <w:sz w:val="28"/>
          <w:szCs w:val="28"/>
        </w:rPr>
        <w:t xml:space="preserve">В 2019 году единовременную финансовую помощь на открытие собственного дела получили 16 жителей города Шарыпово. Общий объем финансирования единовременной финансовой помощи составил 2637,60 тыс. рублей. </w:t>
      </w:r>
    </w:p>
    <w:p>
      <w:pPr>
        <w:pStyle w:val="Normal"/>
        <w:widowControl w:val="false"/>
        <w:bidi w:val="0"/>
        <w:spacing w:before="0" w:after="0"/>
        <w:ind w:left="0" w:right="0" w:hanging="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60"/>
        <w:ind w:left="0" w:right="0" w:hanging="0"/>
        <w:jc w:val="both"/>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t>3. Объем инвестиций в основной капитал (за исключением бюджетных средств) в расчете на 1 человека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Инвестиции в основной капитал организациями муниципального образования город Шарыпово (не относящимися к субъектам малого предпринимательства, включая организации, средняя численность работников которых не превышает 15 человек) за 2019 год составили 227 242,0 тыс. рублей. Рост инвестиций в основной капитал по отношению к соответствующему периоду предыдущего года в сопоставимых ценах составил 94,70%.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Инвестиции распределились следующим образом: в здания (кроме жилых) и сооружения, расходы на улучшение земель – 118914,0 тыс. рублей; в машины, оборудование, транспортные средства и инструменты – 98042,0 тыс. рублей, прочие инвестиции – 10286,0 тыс. рублей.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разрезе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основными источниками финансирования капитальных вложений в 2019 году являлись собственные    средства – 164242,0 тыс. рублей – 72,3%., привлеченные средства -63000 тыс. рублей- 27,7%. (в т.ч. за счет бюджетных средств - 41894 тыс.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Рост объемов инвестиций в основной капитал по кругу организаций, не относящихся к субъектам малого предпринимательства, включая организации, средняя численность работников которых не превышает 15 человек, в 2019 году отмечен в следующих видах экономической деятельности:</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 «Торговля оптовая и розничная; ремонт автотранспортных средств и мотоциклов» до 54862 тыс. рублей (в 4,5 раза в сопоставимых ценах к 2018 г.);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 «Деятельность профессиональная, научная и техническая» до 1071 тыс. рублей (182,97 % в сопоставимых ценах к 2018 г.).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Сокращение инвестиций по отношению к соответствующему периоду 2018 года произошло по видам экономической деятельности:</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 «Водоснабжение; водоотведение, организация сбора и утилизации отходов, деятельность по ликвидации загрязнений» до 1535,0 тыс. рублей (88,26 % в сопоставимых ценах к 2018 г.).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«Образование» до 11917 тыс. рублей (62,22% в сопоставимых ценах к 2018 г.);</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«Деятельность гостиниц и предприятий общественного питания» до 3153,0 тыс. рублей (15,7 % в сопоставимых ценах к 2018 г.);</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 «Деятельность в области здравоохранения и социальных услуг» до 7838 тыс. рублей (53,2 % в сопоставимых ценах к 2018 г.);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 «Деятельность в области культуры, спорта, организации досуга и развлечений» до 18132,0 тыс. рублей (50,5 % в сопоставимых ценах к 2018 г.).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 «Транспортировка и хранение» до 411 тыс. рублей (16,04 % в сопоставимых ценах к 2018 г.).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отчетном году объем инвестиций в основной капитал (за исключением бюджетных средств) в расчете на 1 человека увеличился к уровню 2018 года на 31,4% и составил 4021,96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На территории муниципального образования города Шарыпово в отчетном году введено в эксплуатацию:</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38 индивидуальных жилых домов, общей площадью 4535 кв.м. - введены в эксплуатацию в упрощенном порядке по данным, полученным от ФГУП «Ростехинвентаризация – Федеральное БТИ», 3 объекта производственного назначения общей площадью 471,7 кв.м.</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2019 году, согласно реестру выданных разрешений на строительство объектов гражданского и производственного назначения, площадь введенных зданий и сооружений составит 5006,7 кв.м.</w:t>
      </w:r>
    </w:p>
    <w:p>
      <w:pPr>
        <w:pStyle w:val="Normal"/>
        <w:tabs>
          <w:tab w:val="clear" w:pos="720"/>
          <w:tab w:val="left" w:pos="993" w:leader="none"/>
        </w:tabs>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рамках муниципальной программы «Развитие физической культуры и спорта» и краевой субсидии на устройство плоскостных спортивных сооружений в сельской местности, в п. Горячегорск были произведены работы по устройству плоскостного спортивного сооружения «Комплексная спортивная площадка для подвижных игр», расположенного по адресу: п. Горячегорск, ул. Центральная, з-у № 35А, на сумму 2 584,0 тыс. рублей и за счет сложившейся экономии средств при проведении конкурентной закупки в рамках субсидии были выполнены работы    по устройству вагончиков-раздевалок на данном объекте на сумму 416,0 тыс. рублей.</w:t>
      </w:r>
    </w:p>
    <w:p>
      <w:pPr>
        <w:pStyle w:val="Normal"/>
        <w:tabs>
          <w:tab w:val="clear" w:pos="720"/>
          <w:tab w:val="left" w:pos="993" w:leader="none"/>
        </w:tabs>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Планируемый ввод объектов на 2020 год на территории муниципального образования индивидуального жилищного строительства – 4000 кв.м., многоквартирных жилых домов – 0 кв.м.</w:t>
      </w:r>
    </w:p>
    <w:p>
      <w:pPr>
        <w:pStyle w:val="Normal"/>
        <w:tabs>
          <w:tab w:val="clear" w:pos="720"/>
          <w:tab w:val="left" w:pos="993" w:leader="none"/>
        </w:tabs>
        <w:bidi w:val="0"/>
        <w:spacing w:before="0" w:after="0"/>
        <w:ind w:left="0" w:right="0" w:firstLine="709"/>
        <w:jc w:val="both"/>
        <w:rPr>
          <w:rFonts w:ascii="Times New Roman CYR" w:hAnsi="Times New Roman CYR" w:cs="Times New Roman CYR"/>
          <w:color w:val="000000"/>
          <w:spacing w:val="-3"/>
          <w:sz w:val="28"/>
          <w:szCs w:val="28"/>
        </w:rPr>
      </w:pPr>
      <w:r>
        <w:rPr>
          <w:rFonts w:cs="Times New Roman CYR" w:ascii="Times New Roman CYR" w:hAnsi="Times New Roman CYR"/>
          <w:sz w:val="28"/>
          <w:szCs w:val="28"/>
        </w:rPr>
        <w:t xml:space="preserve">Согласно оценке    в 2020 году ожидается уменьшение расходов в части бюджетных инвестиций на увеличение стоимости основных средств, связано с тем, что бюджет муниципального образования    города Шарыпово ежегодно принимается с дефицитом бюджета, соответственно выделение средств в основном носит разовый характер. Бюджетные инвестиции сохранят социальную направленность последних лет. В объекты социальной сферы прогнозируются инвестиции по проектам, включенным в программы по направлениям: образование, культуры, здравоохранение. </w:t>
      </w:r>
      <w:r>
        <w:rPr>
          <w:rFonts w:cs="Times New Roman CYR" w:ascii="Times New Roman CYR" w:hAnsi="Times New Roman CYR"/>
          <w:color w:val="000000"/>
          <w:spacing w:val="-3"/>
          <w:sz w:val="28"/>
          <w:szCs w:val="28"/>
        </w:rPr>
        <w:t>В 2020 году ожидается снижение совокупного объема инвестиций, что приведет к снижению объема инвестиций в основной капитал (за исключением бюджетных средств) в расчете на 1 человека населения до 3665,73 руб.</w:t>
      </w:r>
    </w:p>
    <w:p>
      <w:pPr>
        <w:pStyle w:val="Normal"/>
        <w:bidi w:val="0"/>
        <w:spacing w:before="0" w:after="0"/>
        <w:ind w:left="0" w:right="0" w:firstLine="709"/>
        <w:jc w:val="both"/>
        <w:rPr>
          <w:rFonts w:ascii="Times New Roman CYR" w:hAnsi="Times New Roman CYR" w:cs="Times New Roman CYR"/>
          <w:color w:val="000000"/>
          <w:spacing w:val="-3"/>
          <w:sz w:val="28"/>
          <w:szCs w:val="28"/>
        </w:rPr>
      </w:pPr>
      <w:r>
        <w:rPr>
          <w:rFonts w:cs="Times New Roman CYR" w:ascii="Times New Roman CYR" w:hAnsi="Times New Roman CYR"/>
          <w:color w:val="000000"/>
          <w:spacing w:val="-3"/>
          <w:sz w:val="28"/>
          <w:szCs w:val="28"/>
        </w:rPr>
        <w:t xml:space="preserve">В прогнозируемом периоде 2020-2021 гг. будет вестись строительство здания нового родильного дома в г. Шарыпово.    Объем бюджетных ассигнований на строительство в краевом бюджете запланирован в </w:t>
      </w:r>
      <w:r>
        <w:rPr>
          <w:rFonts w:cs="Times New Roman CYR" w:ascii="Times New Roman CYR" w:hAnsi="Times New Roman CYR"/>
          <w:spacing w:val="-3"/>
          <w:sz w:val="28"/>
          <w:szCs w:val="28"/>
        </w:rPr>
        <w:t>сумме 647821,60 тыс. рублей</w:t>
      </w:r>
      <w:r>
        <w:rPr>
          <w:rFonts w:cs="Times New Roman CYR" w:ascii="Times New Roman CYR" w:hAnsi="Times New Roman CYR"/>
          <w:color w:val="000000"/>
          <w:spacing w:val="-3"/>
          <w:sz w:val="28"/>
          <w:szCs w:val="28"/>
        </w:rPr>
        <w:t xml:space="preserve"> в т.ч. по годам: 2020г.-200000 тыс. рублей, в 2021г.- 447821,60 тыс. рублей.</w:t>
      </w:r>
    </w:p>
    <w:p>
      <w:pPr>
        <w:pStyle w:val="Normal"/>
        <w:bidi w:val="0"/>
        <w:spacing w:before="0" w:after="0"/>
        <w:ind w:left="0" w:right="0" w:firstLine="709"/>
        <w:jc w:val="both"/>
        <w:rPr>
          <w:rFonts w:ascii="Times New Roman CYR" w:hAnsi="Times New Roman CYR" w:cs="Times New Roman CYR"/>
          <w:color w:val="000000"/>
          <w:spacing w:val="-3"/>
          <w:sz w:val="28"/>
          <w:szCs w:val="28"/>
        </w:rPr>
      </w:pPr>
      <w:r>
        <w:rPr>
          <w:rFonts w:cs="Times New Roman CYR" w:ascii="Times New Roman CYR" w:hAnsi="Times New Roman CYR"/>
          <w:color w:val="000000"/>
          <w:spacing w:val="-3"/>
          <w:sz w:val="28"/>
          <w:szCs w:val="28"/>
        </w:rPr>
        <w:t>На 2020 год в краевом бюджете запланирован объем бюджетных ассигнований на ПСД объекта «Плавательный бассейн в г. Шарыпово» в сумме 13347,0 тыс. рублей.</w:t>
      </w:r>
    </w:p>
    <w:p>
      <w:pPr>
        <w:pStyle w:val="Normal"/>
        <w:widowControl w:val="false"/>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На территории муниципального образования город Шарыпово инвестиционные проекты не реализуются.</w:t>
      </w:r>
    </w:p>
    <w:p>
      <w:pPr>
        <w:pStyle w:val="Normal"/>
        <w:widowControl w:val="false"/>
        <w:bidi w:val="0"/>
        <w:spacing w:before="0" w:after="0"/>
        <w:ind w:left="140" w:right="0" w:firstLine="6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bidi w:val="0"/>
        <w:spacing w:before="0" w:after="0"/>
        <w:ind w:left="0" w:right="0" w:firstLine="709"/>
        <w:jc w:val="center"/>
        <w:rPr>
          <w:rFonts w:ascii="Times New Roman CYR" w:hAnsi="Times New Roman CYR" w:cs="Times New Roman CYR"/>
          <w:sz w:val="28"/>
          <w:szCs w:val="28"/>
        </w:rPr>
      </w:pPr>
      <w:r>
        <w:rPr>
          <w:rFonts w:cs="Times New Roman CYR" w:ascii="Times New Roman CYR" w:hAnsi="Times New Roman CYR"/>
          <w:sz w:val="28"/>
          <w:szCs w:val="28"/>
        </w:rPr>
        <w:t>Объем инвестиций</w:t>
        <w:br/>
        <w:t>в основной капитал в абсолютных значениях, темпы роста в действующих</w:t>
        <w:br/>
        <w:t>и сопоставимых ценах за 2017-2019 гг., а также планируемые значения</w:t>
        <w:br/>
        <w:t>на период 2020-2022 гг.</w:t>
      </w:r>
    </w:p>
    <w:tbl>
      <w:tblPr>
        <w:tblW w:w="9774" w:type="dxa"/>
        <w:jc w:val="left"/>
        <w:tblInd w:w="118" w:type="dxa"/>
        <w:tblLayout w:type="fixed"/>
        <w:tblCellMar>
          <w:top w:w="0" w:type="dxa"/>
          <w:left w:w="108" w:type="dxa"/>
          <w:bottom w:w="0" w:type="dxa"/>
          <w:right w:w="108" w:type="dxa"/>
        </w:tblCellMar>
      </w:tblPr>
      <w:tblGrid>
        <w:gridCol w:w="3720"/>
        <w:gridCol w:w="952"/>
        <w:gridCol w:w="983"/>
        <w:gridCol w:w="981"/>
        <w:gridCol w:w="990"/>
        <w:gridCol w:w="1072"/>
        <w:gridCol w:w="1075"/>
      </w:tblGrid>
      <w:tr>
        <w:trPr>
          <w:trHeight w:val="360" w:hRule="atLeast"/>
        </w:trPr>
        <w:tc>
          <w:tcPr>
            <w:tcW w:w="37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Наименование показателя</w:t>
            </w:r>
          </w:p>
        </w:tc>
        <w:tc>
          <w:tcPr>
            <w:tcW w:w="605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rFonts w:ascii="Times New Roman CYR" w:hAnsi="Times New Roman CYR" w:cs="Times New Roman CYR"/>
                <w:color w:val="000000"/>
              </w:rPr>
            </w:pPr>
            <w:r>
              <w:rPr>
                <w:rFonts w:cs="Times New Roman CYR" w:ascii="Times New Roman CYR" w:hAnsi="Times New Roman CYR"/>
                <w:color w:val="000000"/>
              </w:rPr>
              <w:t> </w:t>
            </w:r>
          </w:p>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Значения показателя</w:t>
            </w:r>
          </w:p>
        </w:tc>
      </w:tr>
      <w:tr>
        <w:trPr>
          <w:trHeight w:val="889" w:hRule="atLeast"/>
        </w:trPr>
        <w:tc>
          <w:tcPr>
            <w:tcW w:w="37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rFonts w:ascii="Times New Roman CYR" w:hAnsi="Times New Roman CYR" w:cs="Times New Roman CYR"/>
                <w:color w:val="000000"/>
              </w:rPr>
            </w:pPr>
            <w:r>
              <w:rPr>
                <w:rFonts w:cs="Times New Roman CYR" w:ascii="Times New Roman CYR" w:hAnsi="Times New Roman CYR"/>
                <w:color w:val="000000"/>
              </w:rPr>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color w:val="000000"/>
              </w:rPr>
              <w:t>2017</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color w:val="000000"/>
              </w:rPr>
              <w:t>2018 факт</w:t>
            </w:r>
          </w:p>
        </w:tc>
        <w:tc>
          <w:tcPr>
            <w:tcW w:w="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color w:val="000000"/>
              </w:rPr>
              <w:t>2019 факт</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color w:val="000000"/>
              </w:rPr>
              <w:t>2020 оценка</w:t>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color w:val="000000"/>
              </w:rPr>
              <w:t>2021 прогноз</w:t>
            </w:r>
          </w:p>
        </w:tc>
        <w:tc>
          <w:tcPr>
            <w:tcW w:w="10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color w:val="000000"/>
              </w:rPr>
              <w:t>2022 прогноз</w:t>
            </w:r>
          </w:p>
        </w:tc>
      </w:tr>
      <w:tr>
        <w:trPr>
          <w:trHeight w:val="1189" w:hRule="atLeast"/>
        </w:trPr>
        <w:tc>
          <w:tcPr>
            <w:tcW w:w="3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rFonts w:ascii="Times New Roman CYR" w:hAnsi="Times New Roman CYR" w:cs="Times New Roman CYR"/>
                <w:color w:val="000000"/>
              </w:rPr>
            </w:pPr>
            <w:r>
              <w:rPr>
                <w:rFonts w:cs="Times New Roman CYR" w:ascii="Times New Roman CYR" w:hAnsi="Times New Roman CYR"/>
                <w:color w:val="000000"/>
              </w:rPr>
              <w:t xml:space="preserve">1. Объем инвестиций в основной капитал за счет всех источников финансирования (без субъектов малого предпринимательства), </w:t>
            </w:r>
          </w:p>
          <w:p>
            <w:pPr>
              <w:pStyle w:val="Normal"/>
              <w:widowControl w:val="false"/>
              <w:tabs>
                <w:tab w:val="clear" w:pos="720"/>
              </w:tabs>
              <w:bidi w:val="0"/>
              <w:spacing w:before="0" w:after="0"/>
              <w:ind w:left="0" w:right="0" w:hanging="0"/>
              <w:rPr/>
            </w:pPr>
            <w:r>
              <w:rPr>
                <w:rFonts w:cs="Times New Roman CYR" w:ascii="Times New Roman CYR" w:hAnsi="Times New Roman CYR"/>
                <w:color w:val="000000"/>
              </w:rPr>
              <w:t>тыс. руб.</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lang w:val="en-US"/>
              </w:rPr>
            </w:pPr>
            <w:r>
              <w:rPr>
                <w:rFonts w:ascii="Times New Roman" w:hAnsi="Times New Roman"/>
                <w:lang w:val="en-US"/>
              </w:rPr>
              <w:t>215931</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227018</w:t>
            </w:r>
          </w:p>
        </w:tc>
        <w:tc>
          <w:tcPr>
            <w:tcW w:w="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227242</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407312</w:t>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639680</w:t>
            </w:r>
          </w:p>
        </w:tc>
        <w:tc>
          <w:tcPr>
            <w:tcW w:w="10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193754</w:t>
            </w:r>
          </w:p>
        </w:tc>
      </w:tr>
      <w:tr>
        <w:trPr>
          <w:trHeight w:val="1275" w:hRule="atLeast"/>
        </w:trPr>
        <w:tc>
          <w:tcPr>
            <w:tcW w:w="3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cs="Times New Roman CYR" w:ascii="Times New Roman CYR" w:hAnsi="Times New Roman CYR"/>
                <w:color w:val="000000"/>
              </w:rPr>
              <w:t xml:space="preserve">темп роста объема инвестиций в основной капитал за счет средств бюджетов в действующих ценах, к соответствующему периоду предыдущего года, % </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lang w:val="en-US"/>
              </w:rPr>
            </w:pPr>
            <w:r>
              <w:rPr>
                <w:rFonts w:ascii="Times New Roman" w:hAnsi="Times New Roman"/>
                <w:lang w:val="en-US"/>
              </w:rPr>
              <w:t>19</w:t>
            </w:r>
            <w:r>
              <w:rPr>
                <w:rFonts w:cs="Times New Roman CYR" w:ascii="Times New Roman CYR" w:hAnsi="Times New Roman CYR"/>
              </w:rPr>
              <w:t>0,</w:t>
            </w:r>
            <w:r>
              <w:rPr>
                <w:rFonts w:ascii="Times New Roman" w:hAnsi="Times New Roman"/>
                <w:lang w:val="en-US"/>
              </w:rPr>
              <w:t>77</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105,13</w:t>
            </w:r>
          </w:p>
        </w:tc>
        <w:tc>
          <w:tcPr>
            <w:tcW w:w="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100,10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179,24</w:t>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157,05</w:t>
            </w:r>
          </w:p>
        </w:tc>
        <w:tc>
          <w:tcPr>
            <w:tcW w:w="10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30,29</w:t>
            </w:r>
          </w:p>
        </w:tc>
      </w:tr>
      <w:tr>
        <w:trPr>
          <w:trHeight w:val="1245" w:hRule="atLeast"/>
        </w:trPr>
        <w:tc>
          <w:tcPr>
            <w:tcW w:w="3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cs="Times New Roman CYR" w:ascii="Times New Roman CYR" w:hAnsi="Times New Roman CYR"/>
                <w:color w:val="000000"/>
              </w:rPr>
              <w:t xml:space="preserve">темп роста объема инвестиций в основной капитал за счет средств бюджетов в сопоставимых ценах, к соответствующему периоду предыдущего года, % </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lang w:val="en-US"/>
              </w:rPr>
            </w:pPr>
            <w:r>
              <w:rPr>
                <w:rFonts w:ascii="Times New Roman" w:hAnsi="Times New Roman"/>
                <w:lang w:val="en-US"/>
              </w:rPr>
              <w:t>186</w:t>
            </w:r>
            <w:r>
              <w:rPr>
                <w:rFonts w:cs="Times New Roman CYR" w:ascii="Times New Roman CYR" w:hAnsi="Times New Roman CYR"/>
              </w:rPr>
              <w:t>,50</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102,87</w:t>
            </w:r>
          </w:p>
        </w:tc>
        <w:tc>
          <w:tcPr>
            <w:tcW w:w="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94,70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172,85</w:t>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151,30</w:t>
            </w:r>
          </w:p>
        </w:tc>
        <w:tc>
          <w:tcPr>
            <w:tcW w:w="10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29,18</w:t>
            </w:r>
          </w:p>
        </w:tc>
      </w:tr>
      <w:tr>
        <w:trPr>
          <w:trHeight w:val="559" w:hRule="atLeast"/>
        </w:trPr>
        <w:tc>
          <w:tcPr>
            <w:tcW w:w="3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cs="Times New Roman CYR" w:ascii="Times New Roman CYR" w:hAnsi="Times New Roman CYR"/>
                <w:color w:val="000000"/>
              </w:rPr>
              <w:t>2. Инвестиции в основной капитал за счет бюджетных средств, тыс. руб.</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120722</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85035</w:t>
            </w:r>
          </w:p>
        </w:tc>
        <w:tc>
          <w:tcPr>
            <w:tcW w:w="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41894</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238813</w:t>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468856</w:t>
            </w:r>
          </w:p>
        </w:tc>
        <w:tc>
          <w:tcPr>
            <w:tcW w:w="10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20149</w:t>
            </w:r>
          </w:p>
        </w:tc>
      </w:tr>
      <w:tr>
        <w:trPr>
          <w:trHeight w:val="570" w:hRule="atLeast"/>
        </w:trPr>
        <w:tc>
          <w:tcPr>
            <w:tcW w:w="3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cs="Times New Roman CYR" w:ascii="Times New Roman CYR" w:hAnsi="Times New Roman CYR"/>
                <w:color w:val="000000"/>
              </w:rPr>
              <w:t>3. Объем инвестиций без бюджетных средств (стр.1-стр.2)</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95209</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141983</w:t>
            </w:r>
          </w:p>
        </w:tc>
        <w:tc>
          <w:tcPr>
            <w:tcW w:w="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185348</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168499</w:t>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170824</w:t>
            </w:r>
          </w:p>
        </w:tc>
        <w:tc>
          <w:tcPr>
            <w:tcW w:w="10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173605</w:t>
            </w:r>
          </w:p>
        </w:tc>
      </w:tr>
      <w:tr>
        <w:trPr>
          <w:trHeight w:val="600" w:hRule="atLeast"/>
        </w:trPr>
        <w:tc>
          <w:tcPr>
            <w:tcW w:w="3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cs="Times New Roman CYR" w:ascii="Times New Roman CYR" w:hAnsi="Times New Roman CYR"/>
                <w:color w:val="000000"/>
              </w:rPr>
              <w:t>4. Среднегодовая численность населения, чел.</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46687</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46371</w:t>
            </w:r>
          </w:p>
        </w:tc>
        <w:tc>
          <w:tcPr>
            <w:tcW w:w="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46084</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45966</w:t>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45840</w:t>
            </w:r>
          </w:p>
        </w:tc>
        <w:tc>
          <w:tcPr>
            <w:tcW w:w="10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45718</w:t>
            </w:r>
          </w:p>
        </w:tc>
      </w:tr>
      <w:tr>
        <w:trPr>
          <w:trHeight w:val="945" w:hRule="atLeast"/>
        </w:trPr>
        <w:tc>
          <w:tcPr>
            <w:tcW w:w="3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cs="Times New Roman CYR" w:ascii="Times New Roman CYR" w:hAnsi="Times New Roman CYR"/>
                <w:sz w:val="24"/>
                <w:szCs w:val="24"/>
              </w:rPr>
              <w:t>5. </w:t>
            </w:r>
            <w:r>
              <w:rPr>
                <w:rFonts w:cs="Times New Roman CYR" w:ascii="Times New Roman CYR" w:hAnsi="Times New Roman CYR"/>
                <w:color w:val="000000"/>
              </w:rPr>
              <w:t>Объем инвестиций в основной капитал (за исключением бюджетных средств) в расчете на 1 чел. населения, руб. (стр3./стр. 4)</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2039,30</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3061,89</w:t>
            </w:r>
          </w:p>
        </w:tc>
        <w:tc>
          <w:tcPr>
            <w:tcW w:w="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4021,96</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firstLine="34"/>
              <w:jc w:val="center"/>
              <w:rPr/>
            </w:pPr>
            <w:r>
              <w:rPr>
                <w:rFonts w:cs="Times New Roman CYR" w:ascii="Times New Roman CYR" w:hAnsi="Times New Roman CYR"/>
                <w:color w:val="000000"/>
              </w:rPr>
              <w:t>3665,73</w:t>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firstLine="34"/>
              <w:jc w:val="center"/>
              <w:rPr/>
            </w:pPr>
            <w:r>
              <w:rPr>
                <w:rFonts w:cs="Times New Roman CYR" w:ascii="Times New Roman CYR" w:hAnsi="Times New Roman CYR"/>
                <w:color w:val="000000"/>
              </w:rPr>
              <w:t>3726,53</w:t>
            </w:r>
          </w:p>
        </w:tc>
        <w:tc>
          <w:tcPr>
            <w:tcW w:w="10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firstLine="34"/>
              <w:jc w:val="center"/>
              <w:rPr/>
            </w:pPr>
            <w:r>
              <w:rPr>
                <w:rFonts w:cs="Times New Roman CYR" w:ascii="Times New Roman CYR" w:hAnsi="Times New Roman CYR"/>
                <w:color w:val="000000"/>
              </w:rPr>
              <w:t>3797,30</w:t>
            </w:r>
          </w:p>
        </w:tc>
      </w:tr>
    </w:tbl>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В 2019 году продано из муниципальной собственности в частную собственность 103 земельных участка, площадью 19114 кв.м., предоставлено многодетным семьям 13 земельных участков, площадью 13675 кв.м.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отчетном году доля площади земельных участков,</w:t>
      </w:r>
      <w:r>
        <w:rPr>
          <w:rFonts w:cs="Calibri"/>
        </w:rPr>
        <w:t xml:space="preserve"> </w:t>
      </w:r>
      <w:r>
        <w:rPr>
          <w:rFonts w:cs="Times New Roman CYR" w:ascii="Times New Roman CYR" w:hAnsi="Times New Roman CYR"/>
          <w:sz w:val="28"/>
          <w:szCs w:val="28"/>
        </w:rPr>
        <w:t>являющихся объектами налогообложения земельным налогом, в общей площади территории городского округа (муниципального района) составила - 32,13%.</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сравнении с 2018 годом доля площади земельных участков,</w:t>
      </w:r>
      <w:r>
        <w:rPr>
          <w:rFonts w:cs="Calibri"/>
        </w:rPr>
        <w:t xml:space="preserve"> </w:t>
      </w:r>
      <w:r>
        <w:rPr>
          <w:rFonts w:cs="Times New Roman CYR" w:ascii="Times New Roman CYR" w:hAnsi="Times New Roman CYR"/>
          <w:sz w:val="28"/>
          <w:szCs w:val="28"/>
        </w:rPr>
        <w:t>являющихся объектами налогообложения земельным налогом, в общей площади территории городского округа (муниципального района) увеличилась на 0,11 %, в связи    с продажей земельных участков и предоставлением многодетным семьям земельных участков в собственность бесплатно.</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Ds=Sн/S*100=3,2789/2931,16*100=0,11 %</w:t>
      </w:r>
    </w:p>
    <w:p>
      <w:pPr>
        <w:pStyle w:val="Normal"/>
        <w:bidi w:val="0"/>
        <w:spacing w:before="0" w:after="0"/>
        <w:ind w:left="0" w:right="0" w:firstLine="709"/>
        <w:jc w:val="both"/>
        <w:rPr>
          <w:rFonts w:ascii="MS Sans Serif" w:hAnsi="MS Sans Serif" w:cs="MS Sans Serif"/>
          <w:sz w:val="16"/>
          <w:szCs w:val="16"/>
        </w:rPr>
      </w:pPr>
      <w:r>
        <w:rPr>
          <w:rFonts w:cs="Times New Roman CYR" w:ascii="Times New Roman CYR" w:hAnsi="Times New Roman CYR"/>
          <w:sz w:val="28"/>
          <w:szCs w:val="28"/>
        </w:rPr>
        <w:t>Планируемое увеличение доли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на 2020-2022 гг. также связано с продажей земельных участков и предоставлением многодетным семьям земельных участков в собственность.</w:t>
      </w:r>
    </w:p>
    <w:p>
      <w:pPr>
        <w:pStyle w:val="Normal"/>
        <w:widowControl w:val="false"/>
        <w:bidi w:val="0"/>
        <w:spacing w:before="0" w:after="0"/>
        <w:ind w:left="140" w:right="0" w:firstLine="68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5. Доля прибыльных сельскохозяйственных организаций в общем их числе</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На территории муниципального образования отсутствуют сельскохозяйственные организации.</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Протяженность автомобильных дорог общего пользования местного значения на территории муниципального образования по состоянию на 01.01.2020 года - 208,1 км., в том числе с твердым покрытием 196 км, с усовершенствованным покрытием (асфальтобетон)-140,2 км. Протяженность грунтовых автомобильных дорог-12,1 км.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94,2 %.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По состоянию на 01.01.2020 года протяженность дорог общего пользования местного значения, не отвечающих нормативным требованиям на территории муниципального образования    составляет 100,0 км., соответственно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48,1 %, что отражено в форме федерального статистического наблюдения № 3-ДГ «Сведения об автомобильных дорогах общего    пользования местного значения и искусственных сооружениях на них, находящихся в собственности муниципального образования»    за 2019 год.</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В    отчетном    году на ремонт автомобильных дорог общего пользования местного значения муниципального образования было израсходовано 15437,15 тыс. рублей, в том числе      в рамках реализации государственной программы Красноярского края «Развитие транспортной системы» и подпрограммы «Дороги Красноярья»      было выделено 15284,3 тыс. рублей из краевого бюджета и 152,85 тыс. рублей из бюджета города. На эти средства был отремонтирован участок автомобильной дороги проспекта Байконур, протяженностью 0,385 км., и участок автомобильной дороги улицы Труда в п. Дубинино протяженностью 0,160 км. В текущем году планируется отремонтировать 0,620 км. участка автомобильной дороги по ул. Горького от Южного кольца до границы города Шарыпово, а также участки автомобильных дорог в п Дубинино по ул. Труда- 310 км. и по ул. Пионеров КАТЭКа-0,560 км. На эти цели так же в рамках реализации государственной программы Красноярского края «Развитие транспортной системы» и подпрограммы «Дороги Красноярья» предусмотрены субсидии из краевого бюджета 17756,2 тыс. рублей и бюджета муниципального образования 177,56 тыс. рублей. 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дальнейшем так же планируем принимать участие в реализации действующих программ на территории Красноярского края, в целях содействия повышению уровня транспортно-эксплуатационного состояния автомобильных дорог общего пользования местного значения на территории муниципального образования и снижению показателя протяженности автомобильных дорог, не отвечающих нормативным требованиям.</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Все жители города Шарыпово, в том числе и входящих в состав города Шарыпово жители населенных пунктов поселка Горячегорск (расстояние от города 32 км) и поселка Дубинино (расстояние 22 км) пользуются услугами регулярного автобусного сообщения с административным центром городского округа. </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t>8. Среднемесячная номинальная начисленная заработная плата работников:</w:t>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8.1. крупных и средних предприятий и некоммерческих организаций городского округа (муниципального района)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Согласно данным Красноярскстата, среднемесячная номинальная начисленная заработная плата крупных и средних предприятий и некоммерческих организаций городского округа в 2019 году составила 35180,77 рублей (109,04% к уровню 2018г). Рост сложился в результате увеличения заработной платы муниципальным служащим на 20% с 01.09.2018 года в соответствии с Законом Красноярского края от 07.06.2018 №5-1683 «О внесении изменений в Закон края «О краевом бюджете на 2018 год и плановый период 2019-2020 годов», работникам бюджетной сферы на 4,3 % с 01.10.2019 года в соответствии с Законом Красноярского края от 06.12.2018 года № 6-2299 «О краевом бюджете на 2019 год и плановый период 2020-2021 годов».</w:t>
      </w:r>
    </w:p>
    <w:p>
      <w:pPr>
        <w:pStyle w:val="Normal"/>
        <w:widowControl w:val="false"/>
        <w:suppressAutoHyphens w:val="true"/>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отчетном году в Администрации города Шарыпово было проведено 11 заседаний комиссии по легализации «теневой» заработной платы. В заседании комиссии приняли участие работники Администрации города Шарыпово, налоговых органов, пенсионного фонда. В результате заседания комиссии руководителям были установлены сроки повышения заработной платы работникам. В дальнейшем будет продолжена работа комиссии по легализации «теневой» заработной платы, в результате которой обеспечен рост средней заработной платы на предприятиях.</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На территории муниципального образования город Шарыпово в ФОТ крупных и средних предприятий и некоммерческих организаций городского округа доля бюджетных учреждений составляет 56%. </w:t>
      </w:r>
    </w:p>
    <w:p>
      <w:pPr>
        <w:pStyle w:val="Normal"/>
        <w:widowControl w:val="false"/>
        <w:suppressAutoHyphens w:val="true"/>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По оценке 2020 года и в плановом периоде 2021-2022 годы ожидается незначительное повышение заработной платы работников крупных и средних предприятий и составит 36834,27 руб., 38970,65 руб., и 41386,83 руб. соответственно.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При расчете показателя на 2021-2020 годы учтены средства на повышение заработной платы муниципальным служащим в размере 20 % в соответствии с Законом Красноярского края от 02.04.2020 года № 9-3811 «О внесении изменений и дополнений в Закон Красноярского края от 05.12.2019 № 8-3414 «О краевом бюджете на 2020 год и плановый период 2021-2022 годов».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8.2. муниципальных дошкольных образовательных учреждений;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Среднемесячная номинальная начисленная заработная плата работников муниципальных дошкольных общеобразовательных учреждений      в 2019 году составила      25640,39 рублей, по сравнению с 2018 годом возросла на 12,6% (в 2018г. –22773 рублей). 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8.3. муниципальных общеобразовательных учреждений;</w:t>
      </w:r>
    </w:p>
    <w:p>
      <w:pPr>
        <w:pStyle w:val="Normal"/>
        <w:bidi w:val="0"/>
        <w:spacing w:before="0" w:after="0"/>
        <w:ind w:left="0" w:right="0" w:firstLine="345"/>
        <w:jc w:val="both"/>
        <w:rPr>
          <w:rFonts w:ascii="Times New Roman CYR" w:hAnsi="Times New Roman CYR" w:cs="Times New Roman CYR"/>
          <w:sz w:val="28"/>
          <w:szCs w:val="28"/>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В результате увеличения фонда оплаты труда работникам учреждения, месячная заработная плата которых при полностью отработанной норме рабочего времени и выполненной норме труда с учетом выплат компенсационного и стимулирующего характера ниже размера минимальной заработной платы в Красноярском крае произошел рост среднемесячной заработной платы. Повышение заработной платы учителей произошло за счет повышения фонда оплаты труда в результате увеличения численности учащихся и количества классов:</w:t>
      </w:r>
    </w:p>
    <w:p>
      <w:pPr>
        <w:pStyle w:val="Normal"/>
        <w:widowControl w:val="false"/>
        <w:bidi w:val="0"/>
        <w:spacing w:before="0" w:after="0"/>
        <w:ind w:left="0" w:right="0" w:firstLine="567"/>
        <w:jc w:val="both"/>
        <w:rPr>
          <w:rFonts w:ascii="Times New Roman CYR" w:hAnsi="Times New Roman CYR" w:cs="Times New Roman CYR"/>
          <w:sz w:val="28"/>
          <w:szCs w:val="28"/>
        </w:rPr>
      </w:pPr>
      <w:r>
        <w:rPr>
          <w:rFonts w:cs="Times New Roman CYR" w:ascii="Times New Roman CYR" w:hAnsi="Times New Roman CYR"/>
          <w:sz w:val="28"/>
          <w:szCs w:val="28"/>
        </w:rPr>
        <w:t>- в муниципальных общеобразовательных учреждениях с 27196,50 рублей в 2018 году до 30257,93 рублей в 2019 году</w:t>
      </w:r>
    </w:p>
    <w:p>
      <w:pPr>
        <w:pStyle w:val="Normal"/>
        <w:widowControl w:val="false"/>
        <w:bidi w:val="0"/>
        <w:spacing w:before="0" w:after="0"/>
        <w:ind w:left="0" w:right="0" w:firstLine="567"/>
        <w:jc w:val="both"/>
        <w:rPr>
          <w:rFonts w:ascii="Times New Roman CYR" w:hAnsi="Times New Roman CYR" w:cs="Times New Roman CYR"/>
          <w:sz w:val="24"/>
          <w:szCs w:val="24"/>
        </w:rPr>
      </w:pPr>
      <w:r>
        <w:rPr>
          <w:rFonts w:cs="Times New Roman CYR" w:ascii="Times New Roman CYR" w:hAnsi="Times New Roman CYR"/>
          <w:sz w:val="28"/>
          <w:szCs w:val="28"/>
        </w:rPr>
        <w:t>- у учителей муниципальных общеобразовательных учреждений с 34793,72 рублей в 2018 году до 37501,31 рублей в 2019 году.</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8.4. муниципальных учреждений культуры и искусства;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Средняя заработная плата работников муниципальных учреждений культуры за 2019 год составила 32827,24 рублей, рост 114,28% к уровню 2018 года.</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8.5. муниципальных учреждений физической культуры и спорта</w:t>
      </w:r>
    </w:p>
    <w:p>
      <w:pPr>
        <w:pStyle w:val="Normal"/>
        <w:widowControl w:val="false"/>
        <w:bidi w:val="0"/>
        <w:spacing w:before="0" w:after="0"/>
        <w:ind w:left="0" w:right="0" w:firstLine="720"/>
        <w:rPr>
          <w:rFonts w:ascii="Times New Roman CYR" w:hAnsi="Times New Roman CYR" w:cs="Times New Roman CYR"/>
          <w:sz w:val="24"/>
          <w:szCs w:val="24"/>
        </w:rPr>
      </w:pPr>
      <w:r>
        <w:rPr>
          <w:rFonts w:cs="Times New Roman CYR" w:ascii="Times New Roman CYR" w:hAnsi="Times New Roman CYR"/>
          <w:color w:val="000000"/>
          <w:sz w:val="28"/>
          <w:szCs w:val="28"/>
        </w:rPr>
        <w:t>Среднемесячная номинальная начисленная заработная плата в учреждениях физической культуры и спорта составила 21114 рублей.</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t>II. Дошкольное образование</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Доля детей в возрасте от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в 2019 году составила 69,8%, в 2018 году данный показатель составлял 67,8%. Увеличение показателя на 2% связано со снижением количества детей в возрасте 1 – 6 лет, проживающих в городе. Показатель до 2022 года планируется на уровне 70,9%. Изменение показателя возможно за счет изменения численности детей дошкольного возраста.</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t>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составила 0% в 2019 году, это обусловлено тем, что актуальной очереди в муниципальном образовании города Шарыпово нет.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Показатель до 2022 года планируется сохранить на том же уровне.</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Для создания безопасных, комфортных    условий функционирования объектов муниципальной собственности и развития муниципальных учреждений в 2019 году в рамках реализации муниципальной программы    «Развитие образования муниципального образования    «город Шарыпово Красноярского края» (подпрограмма «Развитие дошкольного, общего и дополнительного образования») выполнены следующие мероприятия:</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текущий ремонт вытяжной системы вентиляции в прачечной и пищеблоке МБДОУ «Золотой ключик» - 224,92 тыс. руб.;</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текущий ремонт отмостки здания МБДОУ «Чебурашка» на сумму 226, 31 тыс. руб.,</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текущий ремонт автоматической пожарной сигнализации в МБДОУ «Журавушка» - 98,0 тыс. руб.,</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устройство 3-х теневых навесов на территории МБДОУ «Теремок» на сумму 400,0 тыс. руб.,</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текущий ремонт системы отопления в МБДОУ №2 «Дюймовочка» - 224,74 тыс. руб., замена оконных блоков - 69,19 тыс. руб.</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2019 г. доля дошкольных образовательных учреждений здания, которых находятся в аварийном состоянии или требуют капитального ремонта составляет 81,80%.      В прогнозируемый период этот показатель уменьшится в связи с планируемой в 2020 году реорганизацией дошкольных учреждений, и станет 80,0%.</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Перечень дошкольных образовательных учреждений, здания которых требуют капитального ремонта: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бюджетное дошкольное образовательное учреждение «Детский сад №2 «Дюймовочка» общеразвивающего вида с приоритетным осуществлением деятельности по художественно-эстетическому развитию детей».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бюджетное дошкольное образовательное учреждение «Детский сад №3 «Чебурашка» общеразвивающего вида с приоритетным осуществлением деятельности по экологическому развитию детей».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бюджетное дошкольное образовательное учреждение «Детский сад №4 «Росинка» комбинированного вида».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бюджетное дошкольное образовательное учреждение «Детский сад №5 «Дельфин» комбинированного вида».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бюджетное дошкольное образовательное учреждение «Детский сад №8 «Теремок» общеразвивающего вида с приоритетным осуществлением деятельности по художественно-эстетическому развитию детей».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бюджетное дошкольное образовательное учреждение «Детский сад №10 «Сказка» комбинированного вида».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бюджетное дошкольное образовательное учреждение «Детский сад №15 «Ромашка» общеразвивающего вида с приоритетным осуществлением деятельности по физическому направлению развития детей».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бюджетное дошкольное образовательное учреждение «Детский сад №21 «Золотой ключик» комбинированного вида».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бюджетное дошкольное образовательное учреждение «Детский сад №22 «Журавушка» общеразвивающего вида с приоритетным осуществлением деятельности по художественно-эстетическому направлению развития детей».</w:t>
      </w:r>
    </w:p>
    <w:p>
      <w:pPr>
        <w:pStyle w:val="Normal"/>
        <w:widowControl w:val="false"/>
        <w:bidi w:val="0"/>
        <w:spacing w:before="10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10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III. Общее и дополнительное образование</w:t>
      </w:r>
    </w:p>
    <w:p>
      <w:pPr>
        <w:pStyle w:val="Normal"/>
        <w:widowControl w:val="false"/>
        <w:bidi w:val="0"/>
        <w:spacing w:before="0" w:after="0"/>
        <w:ind w:left="0" w:right="0" w:hanging="0"/>
        <w:jc w:val="both"/>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2019 году все выпускники муниципальных общеобразовательных учреждений, успешно прошли государственную итоговую аттестацию и получили аттестат о среднем общем образовании. Показатель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составлял 0,5% в 2018 году, в 2019 году он равен 0%. Такой результат связан с эффективно организованной профориентационной работой и работой по подготовке выпускников к единому государственному экзамену. До 2022 года прогнозируется значение данного показателя на уровне 0,4%.</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pPr>
        <w:pStyle w:val="Normal"/>
        <w:bidi w:val="0"/>
        <w:spacing w:before="0" w:after="0"/>
        <w:ind w:left="0" w:right="0" w:firstLine="709"/>
        <w:jc w:val="both"/>
        <w:rPr>
          <w:rFonts w:ascii="Times New Roman CYR" w:hAnsi="Times New Roman CYR" w:cs="Times New Roman CYR"/>
        </w:rPr>
      </w:pPr>
      <w:r>
        <w:rPr>
          <w:rFonts w:cs="Times New Roman CYR" w:ascii="Times New Roman CYR" w:hAnsi="Times New Roman CYR"/>
          <w:sz w:val="28"/>
          <w:szCs w:val="28"/>
        </w:rPr>
        <w:t>В 2019 году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78,12%, показатель увеличился в связи с проведенной в 2019 году реорганизацией общеобразовательных учреждений.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До 2022 года данный показатель сохранится на уровне 78,12%, так как Горячегорская основная общеобразовательная школа филиал МБОУ «СОШ №1» не имеет централизованной системы отопления и лекционного зала. </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Для создания безопасных, комфортных и здоровьесохраняющих условий для учащихся общеобразовательных учреждений в 2019 году из краевого бюджета выделены субсидии на устранение предписаний надзорных органов в сумме 1 510, 80 тыс. рублей. Софинансирование 1% из бюджета города – 15 108,00 рублей. Денежные средства в сумме 1 525,91тыс. рублей использованы на устранение предписаний Роспотребнадзора, а именно:</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текущий ремонт полов в актовом зале в МБОУ СОШ №1 на сумму 228,21 тыс.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замена оконных блоков в МБОУ СОШ №2 на сумму 137,79 тыс.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текущий ремонт водоснабжения и канализации в МАОУ СОШ №8 на сумму 849,31 тыс.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текущий ремонт полов в кабинете химия МАОУ СОШ №12 на сумму 197,22 тыс. рублей и МБОУ СОШ №2 на 113, 39 тыс. рублей.</w:t>
      </w:r>
    </w:p>
    <w:p>
      <w:pPr>
        <w:pStyle w:val="Normal"/>
        <w:bidi w:val="0"/>
        <w:spacing w:before="0" w:after="0"/>
        <w:ind w:left="6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В рамках реализации муниципальной программы «Развитие образования муниципального образования «город Шарыпово Красноярского края» (подпрограмма «Развитие дошкольного, общего и дополнительного образования») в общеобразовательных учреждениях выполнены мероприятия:</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текущий ремонт ограждения территории МБОУ СОШ №7 - 756,04 тыс.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текущий ремонт полов в учебном кабинете в МБОУ СОШ №2 – 115,35 тыс.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 текущий ремонт пола в холле Горячегорской основной общеобразовательной школы филиала МБОУ СОШ №1 - 43,56 тыс. рублей;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текущий ремонт отмостки здания Горячегорской основной общеобразовательной школы филиала МБОУ СОШ №1 - 104,21 тыс.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текущий ремонт отмостки здания школы и мастерских МАОУ СОШ №12 - 544,92 тыс.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текущий ремонт водостоков здания школы МАОУ СОШ №12 -                                    395,0 тыс.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текущий ремонт полов в учебных кабинетах МАОУ СОШ №12 -                                    119,98 тыс.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текущий ремонт полов в актовом зале в МБОУ СОШ №1 - 30,46 тыс.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замена оконных блоков в МБОУ СОШ №2 - 59, 31 тыс.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устройство охранной сигнализации в гараже МАОУ СОШ №12 – 46,0 тыс.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разработка ПСД на капитальный ремонт малого спортивного зала МАОУ СОШ№ 12 – 243,04 тыс.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разработка ПСД на капитальный ремонт автоматической пожарной сигнализации в бассейне МАОУ СОШ №8 – 750,0 тыс. рублей.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Доля муниципальных общеобразовательных учреждений, здания которых находятся в аварийном состоянии или требуют капитального ремонта, сохранится на уровне 100% до прогнозируемого 2022 года.    До 2022 года в общеобразовательных учреждениях требуется проведение капитального ремонта (замена оконных и дверных блоков, ремонт кровли, замена систем отопления, водоснабжения и канализации). Уменьшение доли муниципальных общеобразовательных учреждений, здания которых находятся в аварийном состоянии или требуют капитального ремонта, станет возможным за счет участия в городских и краевых государственных программах в случае выделения денежных средств на нужды общеобразовательных учреждений. 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Перечень общеобразовательных учреждений, здания которых требуют капитального ремонта:</w:t>
      </w:r>
    </w:p>
    <w:p>
      <w:pPr>
        <w:pStyle w:val="Normal"/>
        <w:widowControl w:val="false"/>
        <w:numPr>
          <w:ilvl w:val="0"/>
          <w:numId w:val="2"/>
        </w:numPr>
        <w:tabs>
          <w:tab w:val="clear" w:pos="720"/>
          <w:tab w:val="left" w:pos="1134" w:leader="none"/>
        </w:tabs>
        <w:bidi w:val="0"/>
        <w:spacing w:before="0" w:after="0"/>
        <w:ind w:left="-142" w:right="0" w:firstLine="851"/>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бюджетное общеобразовательное учреждение «Средняя общеобразовательная школа №1».</w:t>
      </w:r>
    </w:p>
    <w:p>
      <w:pPr>
        <w:pStyle w:val="Normal"/>
        <w:widowControl w:val="false"/>
        <w:numPr>
          <w:ilvl w:val="0"/>
          <w:numId w:val="2"/>
        </w:numPr>
        <w:tabs>
          <w:tab w:val="clear" w:pos="720"/>
          <w:tab w:val="left" w:pos="1134" w:leader="none"/>
        </w:tabs>
        <w:bidi w:val="0"/>
        <w:spacing w:before="0" w:after="0"/>
        <w:ind w:left="-142" w:right="0" w:firstLine="851"/>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бюджетное общеобразовательное учреждение «Средняя общеобразовательная школа №2».</w:t>
      </w:r>
    </w:p>
    <w:p>
      <w:pPr>
        <w:pStyle w:val="Normal"/>
        <w:widowControl w:val="false"/>
        <w:numPr>
          <w:ilvl w:val="0"/>
          <w:numId w:val="2"/>
        </w:numPr>
        <w:tabs>
          <w:tab w:val="clear" w:pos="720"/>
          <w:tab w:val="left" w:pos="1134" w:leader="none"/>
        </w:tabs>
        <w:bidi w:val="0"/>
        <w:spacing w:before="0" w:after="0"/>
        <w:ind w:left="-142" w:right="0" w:firstLine="851"/>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автономное общеобразовательное учреждение «Средняя общеобразовательная школа №3».</w:t>
      </w:r>
    </w:p>
    <w:p>
      <w:pPr>
        <w:pStyle w:val="Normal"/>
        <w:widowControl w:val="false"/>
        <w:numPr>
          <w:ilvl w:val="0"/>
          <w:numId w:val="2"/>
        </w:numPr>
        <w:tabs>
          <w:tab w:val="clear" w:pos="720"/>
          <w:tab w:val="left" w:pos="1134" w:leader="none"/>
        </w:tabs>
        <w:bidi w:val="0"/>
        <w:spacing w:before="0" w:after="0"/>
        <w:ind w:left="-142" w:right="0" w:firstLine="851"/>
        <w:jc w:val="both"/>
        <w:rPr>
          <w:rFonts w:ascii="Times New Roman CYR" w:hAnsi="Times New Roman CYR" w:cs="Times New Roman CYR"/>
          <w:sz w:val="28"/>
          <w:szCs w:val="28"/>
        </w:rPr>
      </w:pPr>
      <w:r>
        <w:rPr>
          <w:rFonts w:cs="Times New Roman CYR" w:ascii="Times New Roman CYR" w:hAnsi="Times New Roman CYR"/>
          <w:sz w:val="28"/>
          <w:szCs w:val="28"/>
        </w:rPr>
        <w:t>Горячегорская основная общеобразовательная школа филиал МБОУ «Средняя общеобразовательная школа №1».</w:t>
      </w:r>
    </w:p>
    <w:p>
      <w:pPr>
        <w:pStyle w:val="Normal"/>
        <w:widowControl w:val="false"/>
        <w:numPr>
          <w:ilvl w:val="0"/>
          <w:numId w:val="2"/>
        </w:numPr>
        <w:tabs>
          <w:tab w:val="clear" w:pos="720"/>
          <w:tab w:val="left" w:pos="1134" w:leader="none"/>
        </w:tabs>
        <w:bidi w:val="0"/>
        <w:spacing w:before="0" w:after="0"/>
        <w:ind w:left="-142" w:right="0" w:firstLine="851"/>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бюджетное общеобразовательное учреждение «Основная общеобразовательная школа №6».</w:t>
      </w:r>
    </w:p>
    <w:p>
      <w:pPr>
        <w:pStyle w:val="Normal"/>
        <w:widowControl w:val="false"/>
        <w:numPr>
          <w:ilvl w:val="0"/>
          <w:numId w:val="2"/>
        </w:numPr>
        <w:tabs>
          <w:tab w:val="clear" w:pos="720"/>
          <w:tab w:val="left" w:pos="1134" w:leader="none"/>
        </w:tabs>
        <w:bidi w:val="0"/>
        <w:spacing w:before="0" w:after="0"/>
        <w:ind w:left="-142" w:right="0" w:firstLine="851"/>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бюджетное общеобразовательное учреждение «Средняя общеобразовательная школа №7».</w:t>
      </w:r>
    </w:p>
    <w:p>
      <w:pPr>
        <w:pStyle w:val="Normal"/>
        <w:widowControl w:val="false"/>
        <w:numPr>
          <w:ilvl w:val="0"/>
          <w:numId w:val="2"/>
        </w:numPr>
        <w:tabs>
          <w:tab w:val="clear" w:pos="720"/>
          <w:tab w:val="left" w:pos="1134" w:leader="none"/>
        </w:tabs>
        <w:bidi w:val="0"/>
        <w:spacing w:before="0" w:after="0"/>
        <w:ind w:left="-142" w:right="0" w:firstLine="851"/>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автономное общеобразовательное учреждение «Средняя общеобразовательная школа №8».</w:t>
      </w:r>
    </w:p>
    <w:p>
      <w:pPr>
        <w:pStyle w:val="Normal"/>
        <w:widowControl w:val="false"/>
        <w:numPr>
          <w:ilvl w:val="0"/>
          <w:numId w:val="2"/>
        </w:numPr>
        <w:tabs>
          <w:tab w:val="clear" w:pos="720"/>
          <w:tab w:val="left" w:pos="1134" w:leader="none"/>
        </w:tabs>
        <w:bidi w:val="0"/>
        <w:spacing w:before="0" w:after="0"/>
        <w:ind w:left="-142" w:right="0" w:firstLine="851"/>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автономное общеобразовательное учреждение «Средняя общеобразовательная школа №12».</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16. Доля детей первой и второй групп здоровья в общей численности обучающихся в муниципальных общеобразовательных учреждениях</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Доля детей первой и второй групп здоровья в общей численности обучающихся в муниципальных общеобразовательных учреждениях повысилась с 86,53% в 2018 году до 86,94% в 2019 году. Повышение данного показателя связано со снижением заболеваемости детей в школах города в течение года. До 2022 года прогнозируется рост данного показателя до 87,95%. </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2019 году во всех общеобразовательных учреждениях учащиеся занимались только в первую смену. До 2022 года данный показатель прогнозируется на уровне 0%.</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Увеличение показателя в 2019 году по сравнению с 2018 годом на 2,60 тыс. руб. произошло в связи с увеличением фонда оплаты труда по категории работников, получающих минимальный размер оплаты труда.      Расчет производится согласно методике. До 2020 года данный показатель прогнозируется на уровне 16,77 тыс. руб.</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2018 году составила 47,35 %,    в 2019 году показатель увеличился до 47,40% в связи с изменением количества детей в дошкольных образовательных учреждениях, посещающих объединения дополнительного образования. Планируется увеличение данного показателя до 69,1% в 2022 году. </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t>IV. Культура</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20. Уровень фактической обеспеченности учреждениями культуры от нормативной потребности:</w:t>
      </w:r>
    </w:p>
    <w:p>
      <w:pPr>
        <w:pStyle w:val="Normal"/>
        <w:keepNext w:val="true"/>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систему учреждений культуры муниципального образования город Шарыпово входит учреждение клубного типа МАУ «Центр культурного развития г. Шарыпово» с филиалами «Дом культуры п. Дубинино», Дом культуры п. Горячегорск.</w:t>
      </w:r>
    </w:p>
    <w:p>
      <w:pPr>
        <w:pStyle w:val="Normal"/>
        <w:keepNext w:val="true"/>
        <w:tabs>
          <w:tab w:val="clear" w:pos="720"/>
          <w:tab w:val="left" w:pos="0" w:leader="none"/>
        </w:tabs>
        <w:bidi w:val="0"/>
        <w:spacing w:before="0" w:after="0"/>
        <w:ind w:left="0" w:right="0" w:firstLine="709"/>
        <w:rPr>
          <w:rFonts w:ascii="Times New Roman CYR" w:hAnsi="Times New Roman CYR" w:cs="Times New Roman CYR"/>
          <w:sz w:val="28"/>
          <w:szCs w:val="28"/>
        </w:rPr>
      </w:pPr>
      <w:r>
        <w:rPr>
          <w:rFonts w:cs="Times New Roman CYR" w:ascii="Times New Roman CYR" w:hAnsi="Times New Roman CYR"/>
          <w:sz w:val="28"/>
          <w:szCs w:val="28"/>
        </w:rPr>
        <w:t xml:space="preserve">В городе работают: 8 библиотек, 2 учреждения дополнительного образования детей (детские школы искусств), 3 киноустановки, 1музей, 1театр. </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клубами и учреждениями клубного типа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Фактическое число учреждений клубного типа -3 учреждения.</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Уровень фактической обеспеченности составляет 100%.    Показатель «Уровень фактической обеспеченности клубами и учреждениями клубного типа» рассчитывался, в соответствии с нормативами, утвержденными распоряжением Минкультуры России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библиотеками</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Фактическое число библиотек на территории муниципального образования город Шарыпово составляет 8 единиц, из них 3 детские библиотеки. Обеспеченность библиотеками в 2019 году составляет 100%. и остается на уровне 2018 года.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Показатель фактической обеспеченности рассчитывался в соответствии с распоряжением Минкультуры России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парками культуры и отдыха.</w:t>
      </w:r>
    </w:p>
    <w:p>
      <w:pPr>
        <w:pStyle w:val="Normal"/>
        <w:bidi w:val="0"/>
        <w:spacing w:before="0" w:after="0"/>
        <w:ind w:left="0" w:right="0" w:firstLine="709"/>
        <w:jc w:val="both"/>
        <w:rPr>
          <w:rFonts w:cs="Calibri"/>
        </w:rPr>
      </w:pPr>
      <w:r>
        <w:rPr>
          <w:rFonts w:cs="Times New Roman CYR" w:ascii="Times New Roman CYR" w:hAnsi="Times New Roman CYR"/>
          <w:sz w:val="28"/>
          <w:szCs w:val="28"/>
        </w:rPr>
        <w:t>На территории муниципального образования отсутствуют парки культуры и отдыха.</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Общее количество зданий и помещений учреждений культуры составляет 1</w:t>
      </w:r>
      <w:r>
        <w:rPr>
          <w:rFonts w:ascii="Times New Roman" w:hAnsi="Times New Roman"/>
          <w:sz w:val="28"/>
          <w:szCs w:val="28"/>
        </w:rPr>
        <w:t>6</w:t>
      </w:r>
      <w:r>
        <w:rPr>
          <w:rFonts w:cs="Times New Roman CYR" w:ascii="Times New Roman CYR" w:hAnsi="Times New Roman CYR"/>
          <w:sz w:val="28"/>
          <w:szCs w:val="28"/>
        </w:rPr>
        <w:t xml:space="preserve"> единиц.</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Доля муниципальных учреждений культуры, находящихся в аварийном состоянии или требующих капитального ремонта в 2019 году, составляет 0,00% в общем количестве муниципальных учреждений культуры.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На сегодняшний день в капитальном ремонте нуждается МАУ «Центр культурного развития г. Шарыпово» (городской Дом культуры пристройка туалета), МАУ «Городской драматический театр» (капитальный ремонт крыши здания театра).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В 2020-2022 году данный показатель будет равен </w:t>
      </w:r>
      <w:r>
        <w:rPr>
          <w:rFonts w:ascii="Times New Roman" w:hAnsi="Times New Roman"/>
          <w:sz w:val="28"/>
          <w:szCs w:val="28"/>
        </w:rPr>
        <w:t>12.5</w:t>
      </w:r>
      <w:r>
        <w:rPr>
          <w:rFonts w:cs="Times New Roman CYR" w:ascii="Times New Roman CYR" w:hAnsi="Times New Roman CYR"/>
          <w:sz w:val="28"/>
          <w:szCs w:val="28"/>
        </w:rPr>
        <w:t xml:space="preserve">% по причине необходимости проведения капитального ремонта в двух учреждениях культуры. </w:t>
      </w:r>
    </w:p>
    <w:p>
      <w:pPr>
        <w:pStyle w:val="Normal"/>
        <w:widowControl w:val="false"/>
        <w:bidi w:val="0"/>
        <w:spacing w:before="0" w:after="0"/>
        <w:ind w:left="0" w:right="0" w:hanging="0"/>
        <w:rPr>
          <w:rFonts w:ascii="MS Sans Serif" w:hAnsi="MS Sans Serif" w:cs="MS Sans Serif"/>
          <w:sz w:val="16"/>
          <w:szCs w:val="16"/>
        </w:rPr>
      </w:pPr>
      <w:r>
        <w:rPr>
          <w:rFonts w:cs="MS Sans Serif" w:ascii="MS Sans Serif" w:hAnsi="MS Sans Serif"/>
          <w:sz w:val="16"/>
          <w:szCs w:val="16"/>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0 %, так как на территории города Шарыпово нет объектов культурного наследия, находящихся в муниципальной собственности.</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t>V. Физическая культура и спорт</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23. Доля населения, систематически занимающегося физической культурой и спортом</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отчетном году численность населения, систематически занимающегося физкультурой и спортом, составила 20874 человека. Увеличение значения показателя «доля населения, систематически занимающегося физической культурой и спортом» до 47,48% произошло в результате пропаганды здорового образа жизни, популяризации занятий физической культурой и спортом через комплекс ГТО, улучшения городской спортивной инфраструктуры, а также проведения массовых физкультурно-спортивных мероприятий на территории муниципального образования в течение всего года. Планируется в 2020 году увеличение показателя до 47,8%, а к 2022 году достичь показателя 50,1%, что соответствует показателям региональной программы «Спорт – норма жизни» в Красноярском крае.</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В 2019 году в целях привлечения населения к ведению здорового образа жизни, систематическим занятиям физической культурой, укрепления физического состояния и здоровья свою работу осуществлял Центр тестирования ВФСК ГТО. В течение года центром было проведено более 20 мероприятий в рамках ВФСК ГТО. 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Успешно развивается клубная сеть. На базе МАУ «ЦФСП» осуществляют свою деятельность 8 спортивных клубов по месту жительства, в которых занимается 1041 человек. В клубах развиваются такие виды спорта как: волейбол, баскетбол, футбол, мини-футбол, хоккей, лыжные гонки, шашки, шахматы и армспорт.</w:t>
      </w:r>
      <w:r>
        <w:rPr>
          <w:rFonts w:cs="Times New Roman CYR" w:ascii="Times New Roman CYR" w:hAnsi="Times New Roman CYR"/>
          <w:b/>
          <w:bCs/>
          <w:sz w:val="28"/>
          <w:szCs w:val="28"/>
        </w:rPr>
        <w:t xml:space="preserve">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С 2013 года при муниципальном бюджетном учреждении «Спортивная школа города Шарыпово» функционирует отделение адаптивной физической культуры, в 2019 году численность занимающихся адаптивной физической культурой спортом составила – 658 человек.</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При поддержке Регионального Центра спортивной подготовки по адаптивным видам спорта в 2019 году город Шарыпово на базе МБУ «Спортивная школа г. Шарыпово» продолжает быть «базовой» площадкой, обеспечивающей развитие адаптивной физкультуры западной группы районов Красноярского края.    В апреле 2019 года в рамках площадки была реализована зональная Спартакиада среди инвалидов и лиц с ограниченными возможностями здоровья Красноярского края «Преодоление. Спорт. Победа!». Присутствовали 13 территорий с общим количеством участников 224 человека.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рамках муниципальной программы «Развитие физической культуры и спорта» в сельской местности в п. Горячегорск были произведены работы по устройству плоскостного спортивного сооружения «Комплексная спортивная площадка для подвижных игр», в здании спорткомплекс «Надежда» были произведены работы по текущему ремонту кровли и ремонт швов, приобретены спортивный инвентарь и оборудование для спортивных клубов по месту жительства.</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23.1. Доля обучающихся, систематически занимающихся физической культурой и спортом, в общей численности обучающихся</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color w:val="000000"/>
          <w:sz w:val="28"/>
          <w:szCs w:val="28"/>
        </w:rPr>
        <w:t xml:space="preserve">Доля обучающихся, систематически занимающихся физической культурой и спортом, в общей численности, обучающихся в 2019 году </w:t>
      </w:r>
      <w:r>
        <w:rPr>
          <w:rFonts w:cs="Times New Roman CYR" w:ascii="Times New Roman CYR" w:hAnsi="Times New Roman CYR"/>
          <w:sz w:val="28"/>
          <w:szCs w:val="28"/>
        </w:rPr>
        <w:t>составила 100%. Увеличение связано с тем, что были учтены занимающиеся, которые обучаются в средних специальных учебных заведениях города Шарыпово, но в численность населения не включены, так как проживают за пределами муниципального образования город Шарыпово.</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В 2019 году аналогично с 2018 годом свою деятельность осуществляли 8 спортивных клубов при школах, в которых работают специалисты, имеющее средне-специальное образование. 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В муниципальных спортивных школах, согласно плану комплектования, в отчетном году занималось 1203 человека, по видам спорта: легкая атлетика, волейбол, футбол, баскетбол, армспорт, пауэрлифтинг, хоккей, бокс, дзюдо, вольная борьба, греко-римская борьба, кикбоксинг, самбо, каратэ, рукопашный бой. </w:t>
      </w:r>
    </w:p>
    <w:p>
      <w:pPr>
        <w:pStyle w:val="Normal"/>
        <w:widowControl w:val="false"/>
        <w:bidi w:val="0"/>
        <w:spacing w:before="0" w:after="0"/>
        <w:ind w:left="0" w:right="0" w:firstLine="360"/>
        <w:jc w:val="both"/>
        <w:rPr>
          <w:rFonts w:ascii="Times New Roman CYR" w:hAnsi="Times New Roman CYR" w:cs="Times New Roman CYR"/>
          <w:sz w:val="28"/>
          <w:szCs w:val="28"/>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Планируется, что в 2020 году</w:t>
      </w:r>
      <w:r>
        <w:rPr>
          <w:rFonts w:cs="Calibri"/>
        </w:rPr>
        <w:t xml:space="preserve"> </w:t>
      </w:r>
      <w:r>
        <w:rPr>
          <w:rFonts w:cs="Times New Roman CYR" w:ascii="Times New Roman CYR" w:hAnsi="Times New Roman CYR"/>
          <w:sz w:val="28"/>
          <w:szCs w:val="28"/>
        </w:rPr>
        <w:t>значение данного показателя увеличится до 99%, увеличение произойдет в связи с популяризацией занятий физической культурой и спортом, улучшением городской спортивной инфраструктуры, проведением массовых физкультурно-спортивных мероприятий на территории муниципального образования.</w:t>
      </w:r>
    </w:p>
    <w:p>
      <w:pPr>
        <w:pStyle w:val="Normal"/>
        <w:widowControl w:val="false"/>
        <w:bidi w:val="0"/>
        <w:spacing w:before="0" w:after="0"/>
        <w:ind w:left="0" w:right="0" w:firstLine="360"/>
        <w:jc w:val="both"/>
        <w:rPr>
          <w:rFonts w:cs="Calibri"/>
        </w:rPr>
      </w:pPr>
      <w:r>
        <w:rPr>
          <w:rFonts w:cs="Calibri"/>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t>VI. Жилищное строительство и обеспечение граждан жильем</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24. Общая площадь жилых помещений, приходящаяся в среднем на одного жителя</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Общая площадь жилых помещений, приходящаяся в среднем на одного жителя в 2019 г. составляла 26,28 кв. м., рост к уровню 2018 года на 2,29%.</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прогнозируемом периоде планируется незначительный рост данного показателя к 2022 году - 26,75 кв.м. Увеличение данного показателя в большей степени зависит от прогнозируемого снижения количества среднегодовой численности постоянного населения муниципального образования «город Шарыпово Красноярского края».</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целях увеличения обеспеченности жильем и улучшения жилищных условий граждан на территории города развивается система кредитования на приобретение жилья. Жители имеют возможность привлекать финансовые средства коммерческих банков, а также использовать механизм ипотечного кредитования в рамках национального проекта «Доступное и комфортное жилье – гражданам России».</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Для помощи в приобретении жилья для молодых семей работников бюджетной сферы города и края с 2005 года действует Закон края «О субсидировании </w:t>
      </w:r>
      <w:r>
        <w:rPr>
          <w:rFonts w:cs="Times New Roman CYR" w:ascii="Times New Roman CYR" w:hAnsi="Times New Roman CYR"/>
          <w:spacing w:val="-1"/>
          <w:sz w:val="28"/>
          <w:szCs w:val="28"/>
        </w:rPr>
        <w:t xml:space="preserve">процентной ставки по кредитам, привлеченным работниками бюджетной сферы </w:t>
      </w:r>
      <w:r>
        <w:rPr>
          <w:rFonts w:cs="Times New Roman CYR" w:ascii="Times New Roman CYR" w:hAnsi="Times New Roman CYR"/>
          <w:sz w:val="28"/>
          <w:szCs w:val="28"/>
        </w:rPr>
        <w:t>Красноярского края на улучшение жилищных условий».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Общая численность населения</w:t>
      </w:r>
    </w:p>
    <w:tbl>
      <w:tblPr>
        <w:tblW w:w="9615" w:type="dxa"/>
        <w:jc w:val="left"/>
        <w:tblInd w:w="113" w:type="dxa"/>
        <w:tblLayout w:type="fixed"/>
        <w:tblCellMar>
          <w:top w:w="0" w:type="dxa"/>
          <w:left w:w="108" w:type="dxa"/>
          <w:bottom w:w="0" w:type="dxa"/>
          <w:right w:w="108" w:type="dxa"/>
        </w:tblCellMar>
      </w:tblPr>
      <w:tblGrid>
        <w:gridCol w:w="4111"/>
        <w:gridCol w:w="1275"/>
        <w:gridCol w:w="993"/>
        <w:gridCol w:w="1103"/>
        <w:gridCol w:w="1066"/>
        <w:gridCol w:w="1066"/>
      </w:tblGrid>
      <w:tr>
        <w:trPr>
          <w:trHeight w:val="570" w:hRule="atLeast"/>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Наименование показателя</w:t>
            </w:r>
          </w:p>
        </w:tc>
        <w:tc>
          <w:tcPr>
            <w:tcW w:w="1275"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2018</w:t>
            </w:r>
          </w:p>
        </w:tc>
        <w:tc>
          <w:tcPr>
            <w:tcW w:w="993"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2019</w:t>
            </w:r>
          </w:p>
        </w:tc>
        <w:tc>
          <w:tcPr>
            <w:tcW w:w="1103"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2020</w:t>
              <w:br/>
              <w:t>оценка</w:t>
            </w:r>
          </w:p>
        </w:tc>
        <w:tc>
          <w:tcPr>
            <w:tcW w:w="1066"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2021</w:t>
              <w:br/>
              <w:t>прогноз</w:t>
            </w:r>
          </w:p>
        </w:tc>
        <w:tc>
          <w:tcPr>
            <w:tcW w:w="1066"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2022</w:t>
              <w:br/>
              <w:t>прогноз</w:t>
            </w:r>
          </w:p>
        </w:tc>
      </w:tr>
      <w:tr>
        <w:trPr>
          <w:trHeight w:val="409" w:hRule="atLeast"/>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Среднегодовая численность постоянного населения</w:t>
            </w:r>
          </w:p>
        </w:tc>
        <w:tc>
          <w:tcPr>
            <w:tcW w:w="1275"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46371</w:t>
            </w:r>
          </w:p>
        </w:tc>
        <w:tc>
          <w:tcPr>
            <w:tcW w:w="993"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46084</w:t>
            </w:r>
          </w:p>
        </w:tc>
        <w:tc>
          <w:tcPr>
            <w:tcW w:w="1103"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45964</w:t>
            </w:r>
          </w:p>
        </w:tc>
        <w:tc>
          <w:tcPr>
            <w:tcW w:w="1066"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45838</w:t>
            </w:r>
          </w:p>
        </w:tc>
        <w:tc>
          <w:tcPr>
            <w:tcW w:w="1066"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45716</w:t>
            </w:r>
          </w:p>
        </w:tc>
      </w:tr>
      <w:tr>
        <w:trPr>
          <w:trHeight w:val="500" w:hRule="atLeast"/>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Численность населения на начало года</w:t>
            </w:r>
          </w:p>
        </w:tc>
        <w:tc>
          <w:tcPr>
            <w:tcW w:w="1275"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46603</w:t>
            </w:r>
          </w:p>
        </w:tc>
        <w:tc>
          <w:tcPr>
            <w:tcW w:w="993"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46140</w:t>
            </w:r>
          </w:p>
        </w:tc>
        <w:tc>
          <w:tcPr>
            <w:tcW w:w="1103"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46028</w:t>
            </w:r>
          </w:p>
        </w:tc>
        <w:tc>
          <w:tcPr>
            <w:tcW w:w="1066"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45900</w:t>
            </w:r>
          </w:p>
        </w:tc>
        <w:tc>
          <w:tcPr>
            <w:tcW w:w="1066"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45776</w:t>
            </w:r>
          </w:p>
        </w:tc>
      </w:tr>
      <w:tr>
        <w:trPr>
          <w:trHeight w:val="275" w:hRule="atLeast"/>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Численность населения на конец года</w:t>
            </w:r>
          </w:p>
        </w:tc>
        <w:tc>
          <w:tcPr>
            <w:tcW w:w="1275" w:type="dxa"/>
            <w:tcBorders>
              <w:bottom w:val="single" w:sz="4" w:space="0" w:color="000000"/>
              <w:right w:val="single" w:sz="4" w:space="0" w:color="000000"/>
            </w:tcBorders>
            <w:vAlign w:val="bottom"/>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46140</w:t>
            </w:r>
          </w:p>
        </w:tc>
        <w:tc>
          <w:tcPr>
            <w:tcW w:w="993" w:type="dxa"/>
            <w:tcBorders>
              <w:bottom w:val="single" w:sz="4" w:space="0" w:color="000000"/>
              <w:right w:val="single" w:sz="4" w:space="0" w:color="000000"/>
            </w:tcBorders>
            <w:vAlign w:val="bottom"/>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46028</w:t>
            </w:r>
          </w:p>
        </w:tc>
        <w:tc>
          <w:tcPr>
            <w:tcW w:w="1103" w:type="dxa"/>
            <w:tcBorders>
              <w:bottom w:val="single" w:sz="4" w:space="0" w:color="000000"/>
              <w:right w:val="single" w:sz="4" w:space="0" w:color="000000"/>
            </w:tcBorders>
            <w:vAlign w:val="bottom"/>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45900</w:t>
            </w:r>
          </w:p>
        </w:tc>
        <w:tc>
          <w:tcPr>
            <w:tcW w:w="1066" w:type="dxa"/>
            <w:tcBorders>
              <w:bottom w:val="single" w:sz="4" w:space="0" w:color="000000"/>
              <w:right w:val="single" w:sz="4" w:space="0" w:color="000000"/>
            </w:tcBorders>
            <w:vAlign w:val="bottom"/>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45776</w:t>
            </w:r>
          </w:p>
        </w:tc>
        <w:tc>
          <w:tcPr>
            <w:tcW w:w="1066" w:type="dxa"/>
            <w:tcBorders>
              <w:bottom w:val="single" w:sz="4" w:space="0" w:color="000000"/>
              <w:right w:val="single" w:sz="4" w:space="0" w:color="000000"/>
            </w:tcBorders>
            <w:vAlign w:val="bottom"/>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45656</w:t>
            </w:r>
          </w:p>
        </w:tc>
      </w:tr>
    </w:tbl>
    <w:p>
      <w:pPr>
        <w:pStyle w:val="Normal"/>
        <w:widowControl w:val="false"/>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kern w:val="2"/>
          <w:sz w:val="28"/>
          <w:szCs w:val="28"/>
        </w:rPr>
        <w:t>Общая площадь жилых помещений</w:t>
      </w:r>
    </w:p>
    <w:tbl>
      <w:tblPr>
        <w:tblW w:w="9581" w:type="dxa"/>
        <w:jc w:val="center"/>
        <w:tblInd w:w="0" w:type="dxa"/>
        <w:tblLayout w:type="fixed"/>
        <w:tblCellMar>
          <w:top w:w="0" w:type="dxa"/>
          <w:left w:w="108" w:type="dxa"/>
          <w:bottom w:w="0" w:type="dxa"/>
          <w:right w:w="108" w:type="dxa"/>
        </w:tblCellMar>
      </w:tblPr>
      <w:tblGrid>
        <w:gridCol w:w="4057"/>
        <w:gridCol w:w="1276"/>
        <w:gridCol w:w="993"/>
        <w:gridCol w:w="1133"/>
        <w:gridCol w:w="1082"/>
        <w:gridCol w:w="1039"/>
      </w:tblGrid>
      <w:tr>
        <w:trPr/>
        <w:tc>
          <w:tcPr>
            <w:tcW w:w="40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kern w:val="2"/>
                <w:sz w:val="20"/>
                <w:szCs w:val="20"/>
              </w:rPr>
              <w:t>Наименование показателя</w:t>
            </w:r>
          </w:p>
        </w:tc>
        <w:tc>
          <w:tcPr>
            <w:tcW w:w="552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kern w:val="2"/>
                <w:sz w:val="20"/>
                <w:szCs w:val="20"/>
              </w:rPr>
              <w:t>Значение показателя</w:t>
            </w:r>
          </w:p>
        </w:tc>
      </w:tr>
      <w:tr>
        <w:trPr/>
        <w:tc>
          <w:tcPr>
            <w:tcW w:w="40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rFonts w:ascii="Times New Roman CYR" w:hAnsi="Times New Roman CYR" w:cs="Times New Roman CYR"/>
                <w:kern w:val="2"/>
                <w:sz w:val="20"/>
                <w:szCs w:val="20"/>
              </w:rPr>
            </w:pPr>
            <w:r>
              <w:rPr>
                <w:rFonts w:cs="Times New Roman CYR" w:ascii="Times New Roman CYR" w:hAnsi="Times New Roman CYR"/>
                <w:kern w:val="2"/>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kern w:val="2"/>
                <w:sz w:val="20"/>
                <w:szCs w:val="20"/>
              </w:rPr>
              <w:t>2018</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kern w:val="2"/>
                <w:sz w:val="20"/>
                <w:szCs w:val="20"/>
              </w:rPr>
              <w:t>2019</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kern w:val="2"/>
                <w:sz w:val="20"/>
                <w:szCs w:val="20"/>
              </w:rPr>
              <w:t>2020 прогноз</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kern w:val="2"/>
                <w:sz w:val="20"/>
                <w:szCs w:val="20"/>
              </w:rPr>
              <w:t>2021 прогноз</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kern w:val="2"/>
                <w:sz w:val="20"/>
                <w:szCs w:val="20"/>
              </w:rPr>
              <w:t>2022 прогноз</w:t>
            </w:r>
          </w:p>
        </w:tc>
      </w:tr>
      <w:tr>
        <w:trPr/>
        <w:tc>
          <w:tcPr>
            <w:tcW w:w="40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cs="Times New Roman CYR" w:ascii="Times New Roman CYR" w:hAnsi="Times New Roman CYR"/>
                <w:kern w:val="2"/>
                <w:sz w:val="20"/>
                <w:szCs w:val="20"/>
              </w:rPr>
              <w:t>Общая площадь жилых помещений, всего на конец года по данным формы федерального статистического наблюдения №1-жилфонд, тыс.кв.м</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kern w:val="2"/>
                <w:sz w:val="20"/>
                <w:szCs w:val="20"/>
              </w:rPr>
              <w:t>1204,25</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kern w:val="2"/>
                <w:sz w:val="20"/>
                <w:szCs w:val="20"/>
              </w:rPr>
              <w:t>1209,5</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kern w:val="2"/>
                <w:sz w:val="20"/>
                <w:szCs w:val="20"/>
              </w:rPr>
              <w:t>1213,5</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kern w:val="2"/>
                <w:sz w:val="20"/>
                <w:szCs w:val="20"/>
              </w:rPr>
              <w:t>1217,5</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kern w:val="2"/>
                <w:sz w:val="20"/>
                <w:szCs w:val="20"/>
              </w:rPr>
              <w:t>1221,5</w:t>
            </w:r>
          </w:p>
        </w:tc>
      </w:tr>
    </w:tbl>
    <w:p>
      <w:pPr>
        <w:pStyle w:val="Normal"/>
        <w:widowControl w:val="false"/>
        <w:bidi w:val="0"/>
        <w:spacing w:before="0" w:after="0"/>
        <w:ind w:left="0" w:right="0" w:hanging="0"/>
        <w:rPr>
          <w:rFonts w:ascii="MS Sans Serif" w:hAnsi="MS Sans Serif" w:cs="MS Sans Serif"/>
          <w:sz w:val="16"/>
          <w:szCs w:val="16"/>
        </w:rPr>
      </w:pPr>
      <w:r>
        <w:rPr>
          <w:rFonts w:cs="MS Sans Serif" w:ascii="MS Sans Serif" w:hAnsi="MS Sans Serif"/>
          <w:sz w:val="16"/>
          <w:szCs w:val="16"/>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24.1. в том числе введенная в действие за один год</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Одним из основных показателей, характеризующих обеспеченность жильем в г. Шарыпово, является размер общей площади жилых помещений в расчете на одного человека.</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В 2019 году площадь жилых домов, введенных за год, приходящаяся на одного человек населения составила 0,</w:t>
      </w:r>
      <w:r>
        <w:rPr>
          <w:rFonts w:ascii="Times New Roman" w:hAnsi="Times New Roman"/>
          <w:sz w:val="28"/>
          <w:szCs w:val="28"/>
        </w:rPr>
        <w:t>10</w:t>
      </w:r>
      <w:r>
        <w:rPr>
          <w:rFonts w:cs="Times New Roman CYR" w:ascii="Times New Roman CYR" w:hAnsi="Times New Roman CYR"/>
          <w:sz w:val="28"/>
          <w:szCs w:val="28"/>
        </w:rPr>
        <w:t xml:space="preserve"> кв.м. за счет ввода в эксплуатацию жилых домов индивидуальной жилой застройки.</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отчетном году введено в эксплуатацию 38 - индивидуальных жилых домов.</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Строительство многоквартирных жилых домов в период с 2020 по 2022 года на территории муниципального образования города Шарыпово не запланировано.</w:t>
      </w:r>
    </w:p>
    <w:tbl>
      <w:tblPr>
        <w:tblW w:w="9921" w:type="dxa"/>
        <w:jc w:val="center"/>
        <w:tblInd w:w="0" w:type="dxa"/>
        <w:tblLayout w:type="fixed"/>
        <w:tblCellMar>
          <w:top w:w="0" w:type="dxa"/>
          <w:left w:w="108" w:type="dxa"/>
          <w:bottom w:w="0" w:type="dxa"/>
          <w:right w:w="108" w:type="dxa"/>
        </w:tblCellMar>
      </w:tblPr>
      <w:tblGrid>
        <w:gridCol w:w="1417"/>
        <w:gridCol w:w="1417"/>
        <w:gridCol w:w="1417"/>
        <w:gridCol w:w="568"/>
        <w:gridCol w:w="5"/>
        <w:gridCol w:w="845"/>
        <w:gridCol w:w="299"/>
        <w:gridCol w:w="13"/>
        <w:gridCol w:w="978"/>
        <w:gridCol w:w="15"/>
        <w:gridCol w:w="112"/>
        <w:gridCol w:w="866"/>
        <w:gridCol w:w="16"/>
        <w:gridCol w:w="976"/>
        <w:gridCol w:w="16"/>
        <w:gridCol w:w="944"/>
        <w:gridCol w:w="16"/>
      </w:tblGrid>
      <w:tr>
        <w:trPr/>
        <w:tc>
          <w:tcPr>
            <w:tcW w:w="48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Наименование показателя</w:t>
            </w:r>
          </w:p>
        </w:tc>
        <w:tc>
          <w:tcPr>
            <w:tcW w:w="508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Значение показателя</w:t>
            </w:r>
          </w:p>
        </w:tc>
        <w:tc>
          <w:tcPr>
            <w:tcW w:w="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uto" w:line="276" w:before="0" w:after="0"/>
              <w:ind w:left="0" w:right="0" w:hanging="0"/>
              <w:rPr>
                <w:rFonts w:ascii="Times New Roman CYR" w:hAnsi="Times New Roman CYR" w:cs="Times New Roman CYR"/>
              </w:rPr>
            </w:pPr>
            <w:r>
              <w:rPr>
                <w:rFonts w:cs="Times New Roman CYR" w:ascii="Times New Roman CYR" w:hAnsi="Times New Roman CYR"/>
              </w:rPr>
            </w:r>
          </w:p>
        </w:tc>
      </w:tr>
      <w:tr>
        <w:trPr/>
        <w:tc>
          <w:tcPr>
            <w:tcW w:w="482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1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2018 прогноз</w:t>
            </w:r>
          </w:p>
        </w:tc>
        <w:tc>
          <w:tcPr>
            <w:tcW w:w="9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2019 прогноз</w:t>
            </w:r>
          </w:p>
        </w:tc>
        <w:tc>
          <w:tcPr>
            <w:tcW w:w="99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2020 прогноз</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2021 прогноз</w:t>
            </w:r>
          </w:p>
        </w:tc>
        <w:tc>
          <w:tcPr>
            <w:tcW w:w="9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2022 прогноз</w:t>
            </w:r>
          </w:p>
        </w:tc>
      </w:tr>
      <w:tr>
        <w:trPr/>
        <w:tc>
          <w:tcPr>
            <w:tcW w:w="48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cs="Times New Roman CYR" w:ascii="Times New Roman CYR" w:hAnsi="Times New Roman CYR"/>
              </w:rPr>
              <w:t>1. Введено всего, кв.м (стр.1.1+1.2) в том числе</w:t>
            </w:r>
          </w:p>
        </w:tc>
        <w:tc>
          <w:tcPr>
            <w:tcW w:w="114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5246</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4535</w:t>
            </w:r>
          </w:p>
        </w:tc>
        <w:tc>
          <w:tcPr>
            <w:tcW w:w="99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4000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4000</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4000</w:t>
            </w:r>
          </w:p>
        </w:tc>
        <w:tc>
          <w:tcPr>
            <w:tcW w:w="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uto" w:line="276" w:before="0" w:after="0"/>
              <w:ind w:left="0" w:right="0" w:hanging="0"/>
              <w:rPr>
                <w:rFonts w:ascii="Times New Roman CYR" w:hAnsi="Times New Roman CYR" w:cs="Times New Roman CYR"/>
              </w:rPr>
            </w:pPr>
            <w:r>
              <w:rPr>
                <w:rFonts w:cs="Times New Roman CYR" w:ascii="Times New Roman CYR" w:hAnsi="Times New Roman CYR"/>
              </w:rPr>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cs="Times New Roman CYR" w:ascii="Times New Roman CYR" w:hAnsi="Times New Roman CYR"/>
              </w:rPr>
              <w:t>1.1 Индивидуальное жилищное строительство, тыс.кв.м</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5246</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4535</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4000</w:t>
            </w:r>
          </w:p>
        </w:tc>
        <w:tc>
          <w:tcPr>
            <w:tcW w:w="141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4000</w:t>
            </w:r>
          </w:p>
        </w:tc>
        <w:tc>
          <w:tcPr>
            <w:tcW w:w="283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4000</w:t>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cs="Times New Roman CYR" w:ascii="Times New Roman CYR" w:hAnsi="Times New Roman CYR"/>
              </w:rPr>
              <w:t>1.2. многоквартирное жилищное строительство, тыс.кв.м</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w:t>
            </w:r>
          </w:p>
        </w:tc>
        <w:tc>
          <w:tcPr>
            <w:tcW w:w="141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w:t>
            </w:r>
          </w:p>
        </w:tc>
        <w:tc>
          <w:tcPr>
            <w:tcW w:w="283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w:t>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cs="Times New Roman CYR" w:ascii="Times New Roman CYR" w:hAnsi="Times New Roman CYR"/>
              </w:rPr>
              <w:t>2. Среднегодовая численность постоянного населения городского округа (муниципального района), чел.</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76" w:before="0" w:after="200"/>
              <w:ind w:left="0" w:right="0" w:hanging="0"/>
              <w:jc w:val="center"/>
              <w:rPr/>
            </w:pPr>
            <w:r>
              <w:rPr>
                <w:rFonts w:cs="Times New Roman CYR" w:ascii="Times New Roman CYR" w:hAnsi="Times New Roman CYR"/>
              </w:rPr>
              <w:t>46140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76" w:before="0" w:after="200"/>
              <w:ind w:left="0" w:right="0" w:hanging="0"/>
              <w:jc w:val="center"/>
              <w:rPr/>
            </w:pPr>
            <w:r>
              <w:rPr>
                <w:rFonts w:cs="Times New Roman CYR" w:ascii="Times New Roman CYR" w:hAnsi="Times New Roman CYR"/>
              </w:rPr>
              <w:t>46028</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76" w:before="0" w:after="200"/>
              <w:ind w:left="0" w:right="0" w:hanging="0"/>
              <w:jc w:val="center"/>
              <w:rPr/>
            </w:pPr>
            <w:r>
              <w:rPr>
                <w:rFonts w:cs="Times New Roman CYR" w:ascii="Times New Roman CYR" w:hAnsi="Times New Roman CYR"/>
              </w:rPr>
              <w:t>45900</w:t>
            </w:r>
          </w:p>
        </w:tc>
        <w:tc>
          <w:tcPr>
            <w:tcW w:w="141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76" w:before="0" w:after="200"/>
              <w:ind w:left="0" w:right="0" w:hanging="0"/>
              <w:jc w:val="center"/>
              <w:rPr/>
            </w:pPr>
            <w:r>
              <w:rPr>
                <w:rFonts w:cs="Times New Roman CYR" w:ascii="Times New Roman CYR" w:hAnsi="Times New Roman CYR"/>
              </w:rPr>
              <w:t>45776</w:t>
            </w:r>
          </w:p>
        </w:tc>
        <w:tc>
          <w:tcPr>
            <w:tcW w:w="283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76" w:before="0" w:after="200"/>
              <w:ind w:left="0" w:right="0" w:hanging="0"/>
              <w:jc w:val="center"/>
              <w:rPr/>
            </w:pPr>
            <w:r>
              <w:rPr>
                <w:rFonts w:cs="Times New Roman CYR" w:ascii="Times New Roman CYR" w:hAnsi="Times New Roman CYR"/>
              </w:rPr>
              <w:t>45656</w:t>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cs="Times New Roman CYR" w:ascii="Times New Roman CYR" w:hAnsi="Times New Roman CYR"/>
              </w:rPr>
              <w:t>3. Общая площадь жилых помещений, введенная в действие за один год, приходящаяся в среднем на одного жителя (стр.1/стр.2)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lang w:val="en-US"/>
              </w:rPr>
            </w:pPr>
            <w:r>
              <w:rPr>
                <w:rFonts w:ascii="Times New Roman" w:hAnsi="Times New Roman"/>
                <w:lang w:val="en-US"/>
              </w:rPr>
              <w:t>0</w:t>
            </w:r>
            <w:r>
              <w:rPr>
                <w:rFonts w:cs="Times New Roman CYR" w:ascii="Times New Roman CYR" w:hAnsi="Times New Roman CYR"/>
              </w:rPr>
              <w:t>,11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0,10</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0,09</w:t>
            </w:r>
          </w:p>
        </w:tc>
        <w:tc>
          <w:tcPr>
            <w:tcW w:w="141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0,09</w:t>
            </w:r>
          </w:p>
        </w:tc>
        <w:tc>
          <w:tcPr>
            <w:tcW w:w="283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0,09</w:t>
            </w:r>
          </w:p>
        </w:tc>
      </w:tr>
    </w:tbl>
    <w:p>
      <w:pPr>
        <w:pStyle w:val="Normal"/>
        <w:widowControl w:val="false"/>
        <w:bidi w:val="0"/>
        <w:spacing w:before="0" w:after="0"/>
        <w:ind w:left="0" w:right="0" w:hanging="0"/>
        <w:rPr>
          <w:rFonts w:ascii="Times New Roman CYR" w:hAnsi="Times New Roman CYR" w:cs="Times New Roman CYR"/>
          <w:color w:val="FFFFFF"/>
          <w:sz w:val="24"/>
          <w:szCs w:val="24"/>
          <w:highlight w:val="white"/>
        </w:rPr>
      </w:pPr>
      <w:r>
        <w:rPr>
          <w:rFonts w:cs="Times New Roman CYR" w:ascii="Times New Roman CYR" w:hAnsi="Times New Roman CYR"/>
          <w:color w:val="FFFFFF"/>
          <w:sz w:val="24"/>
          <w:szCs w:val="24"/>
          <w:highlight w:val="white"/>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25. Площадь земельных участков, предоставленных для строительства, в расчете на 10 тыс. человек населения</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bidi w:val="0"/>
        <w:spacing w:before="0" w:after="0"/>
        <w:ind w:left="0" w:right="0" w:firstLine="720"/>
        <w:jc w:val="both"/>
        <w:rPr>
          <w:rFonts w:ascii="Times New Roman CYR" w:hAnsi="Times New Roman CYR" w:cs="Times New Roman CYR"/>
          <w:sz w:val="28"/>
          <w:szCs w:val="28"/>
        </w:rPr>
      </w:pPr>
      <w:r>
        <w:rPr>
          <w:rFonts w:cs="Times New Roman CYR" w:ascii="Times New Roman CYR" w:hAnsi="Times New Roman CYR"/>
          <w:sz w:val="28"/>
          <w:szCs w:val="28"/>
        </w:rPr>
        <w:t>В 2019 году площадь земельных участков в отчетном периоде, предоставленных для строительства в расчете на 10000 человек, составила 0,11. По прогнозу на 2020г. - 0,2</w:t>
      </w:r>
      <w:r>
        <w:rPr>
          <w:rFonts w:ascii="Times New Roman" w:hAnsi="Times New Roman"/>
          <w:sz w:val="28"/>
          <w:szCs w:val="28"/>
        </w:rPr>
        <w:t>1</w:t>
      </w:r>
      <w:r>
        <w:rPr>
          <w:rFonts w:cs="Times New Roman CYR" w:ascii="Times New Roman CYR" w:hAnsi="Times New Roman CYR"/>
          <w:sz w:val="28"/>
          <w:szCs w:val="28"/>
        </w:rPr>
        <w:t>; на 2021г. - 0,</w:t>
      </w:r>
      <w:r>
        <w:rPr>
          <w:rFonts w:ascii="Times New Roman" w:hAnsi="Times New Roman"/>
          <w:sz w:val="28"/>
          <w:szCs w:val="28"/>
        </w:rPr>
        <w:t>1</w:t>
      </w:r>
      <w:r>
        <w:rPr>
          <w:rFonts w:cs="Times New Roman CYR" w:ascii="Times New Roman CYR" w:hAnsi="Times New Roman CYR"/>
          <w:sz w:val="28"/>
          <w:szCs w:val="28"/>
        </w:rPr>
        <w:t>0; 2022г. - 0,10. Значительное снижение показателей в 2019 г. обусловлено исчерпанием свободных земельных участков, выделенных для индивидуального жилищного строительства из резерва муниципального образования города Шарыпово, в том числе для предоставления земельных участков многодетным семьям. Выделение земельных участков для строительства многоэтажных жилых домов на территории муниципального образования г. Шарыпово не планируется.</w:t>
      </w:r>
    </w:p>
    <w:tbl>
      <w:tblPr>
        <w:tblW w:w="9651" w:type="dxa"/>
        <w:jc w:val="center"/>
        <w:tblInd w:w="0" w:type="dxa"/>
        <w:tblLayout w:type="fixed"/>
        <w:tblCellMar>
          <w:top w:w="0" w:type="dxa"/>
          <w:left w:w="108" w:type="dxa"/>
          <w:bottom w:w="0" w:type="dxa"/>
          <w:right w:w="108" w:type="dxa"/>
        </w:tblCellMar>
      </w:tblPr>
      <w:tblGrid>
        <w:gridCol w:w="4578"/>
        <w:gridCol w:w="1137"/>
        <w:gridCol w:w="992"/>
        <w:gridCol w:w="992"/>
        <w:gridCol w:w="992"/>
        <w:gridCol w:w="959"/>
      </w:tblGrid>
      <w:tr>
        <w:trPr/>
        <w:tc>
          <w:tcPr>
            <w:tcW w:w="45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Наименование показателя</w:t>
            </w:r>
          </w:p>
        </w:tc>
        <w:tc>
          <w:tcPr>
            <w:tcW w:w="507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Значение показателя</w:t>
            </w:r>
          </w:p>
        </w:tc>
      </w:tr>
      <w:tr>
        <w:trPr/>
        <w:tc>
          <w:tcPr>
            <w:tcW w:w="45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2018 прогноз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2019 прогноз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2020 прогноз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2021 прогноз</w:t>
            </w:r>
          </w:p>
        </w:tc>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2022 прогноз</w:t>
            </w:r>
          </w:p>
        </w:tc>
      </w:tr>
      <w:tr>
        <w:trPr/>
        <w:tc>
          <w:tcPr>
            <w:tcW w:w="45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cs="Times New Roman CYR" w:ascii="Times New Roman CYR" w:hAnsi="Times New Roman CYR"/>
              </w:rPr>
              <w:t>1. Площадь земельных участков, предоставленных для строительства, всего: в том числе</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5717,7</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5035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9562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4500</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4500</w:t>
            </w:r>
          </w:p>
        </w:tc>
      </w:tr>
      <w:tr>
        <w:trPr/>
        <w:tc>
          <w:tcPr>
            <w:tcW w:w="457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cs="Times New Roman CYR" w:ascii="Times New Roman CYR" w:hAnsi="Times New Roman CYR"/>
              </w:rPr>
              <w:t>1.1. для жилищного строительство (в т.ч для ИЖС)</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5246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4535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4000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4000</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4000</w:t>
            </w:r>
          </w:p>
        </w:tc>
      </w:tr>
      <w:tr>
        <w:trPr/>
        <w:tc>
          <w:tcPr>
            <w:tcW w:w="457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cs="Times New Roman CYR" w:ascii="Times New Roman CYR" w:hAnsi="Times New Roman CYR"/>
              </w:rPr>
              <w:t>1.2. для комплексного освоения в целях жилищного строительства</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5062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w:t>
            </w:r>
          </w:p>
        </w:tc>
      </w:tr>
      <w:tr>
        <w:trPr/>
        <w:tc>
          <w:tcPr>
            <w:tcW w:w="457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cs="Times New Roman CYR" w:ascii="Times New Roman CYR" w:hAnsi="Times New Roman CYR"/>
              </w:rPr>
              <w:t>1.3. для строительства объекта, не являющихся объектов жилищного строительства</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471,7</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color w:val="FFFFFF"/>
                <w:highlight w:val="white"/>
              </w:rPr>
              <w:t>500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500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500</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500</w:t>
            </w:r>
          </w:p>
        </w:tc>
      </w:tr>
      <w:tr>
        <w:trPr/>
        <w:tc>
          <w:tcPr>
            <w:tcW w:w="457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cs="Times New Roman CYR" w:ascii="Times New Roman CYR" w:hAnsi="Times New Roman CYR"/>
              </w:rPr>
              <w:t>2. Среднегодовая численность постоянного населения городского округа (муниципального района), чел.</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76" w:before="0" w:after="200"/>
              <w:ind w:left="0" w:right="0" w:hanging="0"/>
              <w:jc w:val="center"/>
              <w:rPr/>
            </w:pPr>
            <w:r>
              <w:rPr>
                <w:rFonts w:cs="Times New Roman CYR" w:ascii="Times New Roman CYR" w:hAnsi="Times New Roman CYR"/>
              </w:rPr>
              <w:t>46371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76" w:before="0" w:after="200"/>
              <w:ind w:left="0" w:right="0" w:hanging="0"/>
              <w:jc w:val="center"/>
              <w:rPr/>
            </w:pPr>
            <w:r>
              <w:rPr>
                <w:rFonts w:cs="Times New Roman CYR" w:ascii="Times New Roman CYR" w:hAnsi="Times New Roman CYR"/>
              </w:rPr>
              <w:t>46083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76" w:before="0" w:after="200"/>
              <w:ind w:left="0" w:right="0" w:hanging="0"/>
              <w:jc w:val="center"/>
              <w:rPr/>
            </w:pPr>
            <w:r>
              <w:rPr>
                <w:rFonts w:cs="Times New Roman CYR" w:ascii="Times New Roman CYR" w:hAnsi="Times New Roman CYR"/>
              </w:rPr>
              <w:t>45963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76" w:before="0" w:after="200"/>
              <w:ind w:left="0" w:right="0" w:hanging="0"/>
              <w:jc w:val="center"/>
              <w:rPr/>
            </w:pPr>
            <w:r>
              <w:rPr>
                <w:rFonts w:cs="Times New Roman CYR" w:ascii="Times New Roman CYR" w:hAnsi="Times New Roman CYR"/>
              </w:rPr>
              <w:t>45837</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76" w:before="0" w:after="200"/>
              <w:ind w:left="0" w:right="0" w:hanging="0"/>
              <w:jc w:val="center"/>
              <w:rPr/>
            </w:pPr>
            <w:r>
              <w:rPr>
                <w:rFonts w:cs="Times New Roman CYR" w:ascii="Times New Roman CYR" w:hAnsi="Times New Roman CYR"/>
              </w:rPr>
              <w:t>45715</w:t>
            </w:r>
          </w:p>
        </w:tc>
      </w:tr>
      <w:tr>
        <w:trPr/>
        <w:tc>
          <w:tcPr>
            <w:tcW w:w="457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cs="Times New Roman CYR" w:ascii="Times New Roman CYR" w:hAnsi="Times New Roman CYR"/>
              </w:rPr>
              <w:t>3. Площадь земельных участков, предоставленных для строительства, в расчете на 10 тыс. человек населения – всего (стр.1/стр.2*10000)</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0,12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0,11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0,2</w:t>
            </w:r>
            <w:r>
              <w:rPr>
                <w:rFonts w:ascii="Times New Roman" w:hAnsi="Times New Roman"/>
                <w:lang w:val="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w:t>
            </w:r>
            <w:r>
              <w:rPr>
                <w:rFonts w:ascii="Times New Roman" w:hAnsi="Times New Roman"/>
                <w:lang w:val="en-US"/>
              </w:rPr>
              <w:t>10</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w:t>
            </w:r>
            <w:r>
              <w:rPr>
                <w:rFonts w:ascii="Times New Roman" w:hAnsi="Times New Roman"/>
                <w:lang w:val="en-US"/>
              </w:rPr>
              <w:t>10</w:t>
            </w:r>
          </w:p>
        </w:tc>
      </w:tr>
      <w:tr>
        <w:trPr/>
        <w:tc>
          <w:tcPr>
            <w:tcW w:w="457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cs="Times New Roman CYR" w:ascii="Times New Roman CYR" w:hAnsi="Times New Roman CYR"/>
              </w:rPr>
              <w:t>4.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10000 тыс. чел. населения (стр.1.1. +стр.1.2/стр.2*10000)</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0,11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0,10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0,20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0,09</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rPr>
              <w:t>0,09</w:t>
            </w:r>
          </w:p>
        </w:tc>
      </w:tr>
    </w:tbl>
    <w:p>
      <w:pPr>
        <w:pStyle w:val="Normal"/>
        <w:widowControl w:val="false"/>
        <w:bidi w:val="0"/>
        <w:spacing w:before="0" w:after="0"/>
        <w:ind w:left="0" w:right="0" w:firstLine="709"/>
        <w:jc w:val="both"/>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b/>
          <w:bCs/>
          <w:color w:val="000000"/>
          <w:sz w:val="28"/>
          <w:szCs w:val="28"/>
        </w:rPr>
        <w:t>Площадь земельных участков, предоставленных для строительства, в расчете на 10 тыс. человек населения:</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2018 год: 5717,7/46371*10000 = 0,12</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2019 год: 5035/46083*10000 = 0,11</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2020 год: 9562/45956*10000 = 0,21</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2021 год: 4500/45837*10000 = 0,10</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2022 год: 4500/45715*10000 = 0,10</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2018 год: 5246/46371*10000 = 0,11</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2019 год: 4535/46083*10000 = 0,10</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2020 год: 9062/45956*10000 = 0,20</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2021 год: 4000/45837*10000 = 0,09</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2022 год: 4000/45715*10000 = 0,09</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t>26.1. объектов жилищного строительства - в течение 3 лет</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tbl>
      <w:tblPr>
        <w:tblW w:w="9846" w:type="dxa"/>
        <w:jc w:val="left"/>
        <w:tblInd w:w="0" w:type="dxa"/>
        <w:tblLayout w:type="fixed"/>
        <w:tblCellMar>
          <w:top w:w="0" w:type="dxa"/>
          <w:left w:w="108" w:type="dxa"/>
          <w:bottom w:w="0" w:type="dxa"/>
          <w:right w:w="108" w:type="dxa"/>
        </w:tblCellMar>
      </w:tblPr>
      <w:tblGrid>
        <w:gridCol w:w="486"/>
        <w:gridCol w:w="1482"/>
        <w:gridCol w:w="1179"/>
        <w:gridCol w:w="2069"/>
        <w:gridCol w:w="1479"/>
        <w:gridCol w:w="1436"/>
        <w:gridCol w:w="1704"/>
        <w:gridCol w:w="9"/>
      </w:tblGrid>
      <w:tr>
        <w:trPr/>
        <w:tc>
          <w:tcPr>
            <w:tcW w:w="9844"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firstLine="709"/>
              <w:jc w:val="both"/>
              <w:rPr/>
            </w:pPr>
            <w:r>
              <w:rPr>
                <w:rFonts w:cs="Times New Roman CYR" w:ascii="Times New Roman CYR" w:hAnsi="Times New Roman CYR"/>
                <w:sz w:val="20"/>
                <w:szCs w:val="20"/>
              </w:rPr>
              <w:t xml:space="preserve">26.1. Площадь земельных участков, предоставленных для </w:t>
            </w:r>
            <w:r>
              <w:rPr>
                <w:rFonts w:cs="Times New Roman CYR" w:ascii="Times New Roman CYR" w:hAnsi="Times New Roman CYR"/>
                <w:b/>
                <w:bCs/>
                <w:sz w:val="20"/>
                <w:szCs w:val="20"/>
              </w:rPr>
              <w:t>жилищного строительства</w:t>
            </w:r>
            <w:r>
              <w:rPr>
                <w:rFonts w:cs="Times New Roman CYR" w:ascii="Times New Roman CYR" w:hAnsi="Times New Roman CYR"/>
                <w:sz w:val="20"/>
                <w:szCs w:val="20"/>
              </w:rPr>
              <w:t xml:space="preserve">, </w:t>
              <w:br/>
              <w:t xml:space="preserve">в отношении которых с даты принятия решения о предоставлении земельного участка </w:t>
              <w:br/>
              <w:t xml:space="preserve">или подписания протокола о результатах торгов (конкурсов, аукционов) не было получено разрешение на ввод в эксплуатацию в течение </w:t>
            </w:r>
            <w:r>
              <w:rPr>
                <w:rFonts w:cs="Times New Roman CYR" w:ascii="Times New Roman CYR" w:hAnsi="Times New Roman CYR"/>
                <w:b/>
                <w:bCs/>
                <w:sz w:val="20"/>
                <w:szCs w:val="20"/>
              </w:rPr>
              <w:t>3 лет</w:t>
            </w:r>
            <w:r>
              <w:rPr>
                <w:rFonts w:cs="Times New Roman CYR" w:ascii="Times New Roman CYR" w:hAnsi="Times New Roman CYR"/>
                <w:sz w:val="20"/>
                <w:szCs w:val="20"/>
              </w:rPr>
              <w:t>, кв.м.</w:t>
            </w:r>
          </w:p>
        </w:tc>
      </w:tr>
      <w:tr>
        <w:trPr/>
        <w:tc>
          <w:tcPr>
            <w:tcW w:w="4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 xml:space="preserve">№ </w:t>
            </w:r>
            <w:r>
              <w:rPr>
                <w:rFonts w:cs="Times New Roman CYR" w:ascii="Times New Roman CYR" w:hAnsi="Times New Roman CYR"/>
                <w:sz w:val="20"/>
                <w:szCs w:val="20"/>
              </w:rPr>
              <w:t>п/п</w:t>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69"/>
              <w:jc w:val="center"/>
              <w:rPr/>
            </w:pPr>
            <w:r>
              <w:rPr>
                <w:rFonts w:cs="Times New Roman CYR" w:ascii="Times New Roman CYR" w:hAnsi="Times New Roman CYR"/>
                <w:sz w:val="20"/>
                <w:szCs w:val="20"/>
              </w:rPr>
              <w:t>Наименование и строительный адрес объекта</w:t>
            </w:r>
          </w:p>
        </w:tc>
        <w:tc>
          <w:tcPr>
            <w:tcW w:w="11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69"/>
              <w:jc w:val="center"/>
              <w:rPr/>
            </w:pPr>
            <w:r>
              <w:rPr>
                <w:rFonts w:cs="Times New Roman CYR" w:ascii="Times New Roman CYR" w:hAnsi="Times New Roman CYR"/>
                <w:sz w:val="20"/>
                <w:szCs w:val="20"/>
              </w:rPr>
              <w:t>Площадь земельного участка, кв.м.</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69"/>
              <w:jc w:val="center"/>
              <w:rPr/>
            </w:pPr>
            <w:r>
              <w:rPr>
                <w:rFonts w:cs="Times New Roman CYR" w:ascii="Times New Roman CYR" w:hAnsi="Times New Roman CYR"/>
                <w:sz w:val="20"/>
                <w:szCs w:val="20"/>
              </w:rPr>
              <w:t>Дата принятия решения о предоставлении земельного участка или подписания протокола о результатах торгов (конкурсов, аукционов)</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69"/>
              <w:jc w:val="center"/>
              <w:rPr/>
            </w:pPr>
            <w:r>
              <w:rPr>
                <w:rFonts w:cs="Times New Roman CYR" w:ascii="Times New Roman CYR" w:hAnsi="Times New Roman CYR"/>
                <w:sz w:val="20"/>
                <w:szCs w:val="20"/>
              </w:rPr>
              <w:t>Дата выдачи разрешения на строительство</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69"/>
              <w:jc w:val="center"/>
              <w:rPr/>
            </w:pPr>
            <w:r>
              <w:rPr>
                <w:rFonts w:cs="Times New Roman CYR" w:ascii="Times New Roman CYR" w:hAnsi="Times New Roman CYR"/>
                <w:sz w:val="20"/>
                <w:szCs w:val="20"/>
              </w:rPr>
              <w:t>Срок действия разрешения на строительство</w:t>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69"/>
              <w:jc w:val="center"/>
              <w:rPr/>
            </w:pPr>
            <w:r>
              <w:rPr>
                <w:rFonts w:cs="Times New Roman CYR" w:ascii="Times New Roman CYR" w:hAnsi="Times New Roman CYR"/>
                <w:sz w:val="20"/>
                <w:szCs w:val="20"/>
              </w:rPr>
              <w:t>Общая площадь жилищного строительства на предоставленном земельном участке, кв.м. (проектная)</w:t>
            </w:r>
          </w:p>
        </w:tc>
        <w:tc>
          <w:tcPr>
            <w:tcW w:w="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uto" w:line="276" w:before="0" w:after="0"/>
              <w:ind w:left="0" w:right="0" w:hanging="0"/>
              <w:rPr>
                <w:rFonts w:ascii="Times New Roman CYR" w:hAnsi="Times New Roman CYR" w:cs="Times New Roman CYR"/>
                <w:sz w:val="20"/>
                <w:szCs w:val="20"/>
              </w:rPr>
            </w:pPr>
            <w:r>
              <w:rPr>
                <w:rFonts w:cs="Times New Roman CYR" w:ascii="Times New Roman CYR" w:hAnsi="Times New Roman CYR"/>
                <w:sz w:val="20"/>
                <w:szCs w:val="20"/>
              </w:rPr>
            </w:r>
          </w:p>
        </w:tc>
      </w:tr>
      <w:tr>
        <w:trPr>
          <w:trHeight w:val="267" w:hRule="atLeast"/>
        </w:trPr>
        <w:tc>
          <w:tcPr>
            <w:tcW w:w="4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1</w:t>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709"/>
              <w:jc w:val="center"/>
              <w:rPr>
                <w:rFonts w:ascii="Times New Roman CYR" w:hAnsi="Times New Roman CYR" w:cs="Times New Roman CYR"/>
                <w:sz w:val="20"/>
                <w:szCs w:val="20"/>
              </w:rPr>
            </w:pPr>
            <w:r>
              <w:rPr>
                <w:rFonts w:cs="Times New Roman CYR" w:ascii="Times New Roman CYR" w:hAnsi="Times New Roman CYR"/>
                <w:sz w:val="20"/>
                <w:szCs w:val="20"/>
              </w:rPr>
            </w:r>
          </w:p>
        </w:tc>
        <w:tc>
          <w:tcPr>
            <w:tcW w:w="11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709"/>
              <w:jc w:val="center"/>
              <w:rPr>
                <w:rFonts w:ascii="Times New Roman CYR" w:hAnsi="Times New Roman CYR" w:cs="Times New Roman CYR"/>
                <w:sz w:val="20"/>
                <w:szCs w:val="20"/>
              </w:rPr>
            </w:pPr>
            <w:r>
              <w:rPr>
                <w:rFonts w:cs="Times New Roman CYR" w:ascii="Times New Roman CYR" w:hAnsi="Times New Roman CYR"/>
                <w:sz w:val="20"/>
                <w:szCs w:val="20"/>
              </w:rPr>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709"/>
              <w:jc w:val="center"/>
              <w:rPr>
                <w:rFonts w:ascii="Times New Roman CYR" w:hAnsi="Times New Roman CYR" w:cs="Times New Roman CYR"/>
                <w:sz w:val="20"/>
                <w:szCs w:val="20"/>
              </w:rPr>
            </w:pPr>
            <w:r>
              <w:rPr>
                <w:rFonts w:cs="Times New Roman CYR" w:ascii="Times New Roman CYR" w:hAnsi="Times New Roman CYR"/>
                <w:sz w:val="20"/>
                <w:szCs w:val="20"/>
              </w:rPr>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709"/>
              <w:jc w:val="center"/>
              <w:rPr>
                <w:rFonts w:ascii="Times New Roman CYR" w:hAnsi="Times New Roman CYR" w:cs="Times New Roman CYR"/>
                <w:sz w:val="20"/>
                <w:szCs w:val="20"/>
              </w:rPr>
            </w:pPr>
            <w:r>
              <w:rPr>
                <w:rFonts w:cs="Times New Roman CYR" w:ascii="Times New Roman CYR" w:hAnsi="Times New Roman CYR"/>
                <w:sz w:val="20"/>
                <w:szCs w:val="20"/>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709"/>
              <w:jc w:val="center"/>
              <w:rPr>
                <w:rFonts w:ascii="Times New Roman CYR" w:hAnsi="Times New Roman CYR" w:cs="Times New Roman CYR"/>
                <w:sz w:val="20"/>
                <w:szCs w:val="20"/>
              </w:rPr>
            </w:pPr>
            <w:r>
              <w:rPr>
                <w:rFonts w:cs="Times New Roman CYR" w:ascii="Times New Roman CYR" w:hAnsi="Times New Roman CYR"/>
                <w:sz w:val="20"/>
                <w:szCs w:val="20"/>
              </w:rPr>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709"/>
              <w:jc w:val="center"/>
              <w:rPr>
                <w:rFonts w:ascii="Times New Roman CYR" w:hAnsi="Times New Roman CYR" w:cs="Times New Roman CYR"/>
                <w:sz w:val="20"/>
                <w:szCs w:val="20"/>
              </w:rPr>
            </w:pPr>
            <w:r>
              <w:rPr>
                <w:rFonts w:cs="Times New Roman CYR" w:ascii="Times New Roman CYR" w:hAnsi="Times New Roman CYR"/>
                <w:sz w:val="20"/>
                <w:szCs w:val="20"/>
              </w:rPr>
            </w:r>
          </w:p>
        </w:tc>
        <w:tc>
          <w:tcPr>
            <w:tcW w:w="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uto" w:line="276" w:before="0" w:after="0"/>
              <w:ind w:left="0" w:right="0" w:hanging="0"/>
              <w:rPr>
                <w:rFonts w:ascii="Times New Roman CYR" w:hAnsi="Times New Roman CYR" w:cs="Times New Roman CYR"/>
                <w:sz w:val="20"/>
                <w:szCs w:val="20"/>
              </w:rPr>
            </w:pPr>
            <w:r>
              <w:rPr>
                <w:rFonts w:cs="Times New Roman CYR" w:ascii="Times New Roman CYR" w:hAnsi="Times New Roman CYR"/>
                <w:sz w:val="20"/>
                <w:szCs w:val="20"/>
              </w:rPr>
            </w:r>
          </w:p>
        </w:tc>
      </w:tr>
      <w:tr>
        <w:trPr>
          <w:trHeight w:val="275" w:hRule="atLeast"/>
        </w:trPr>
        <w:tc>
          <w:tcPr>
            <w:tcW w:w="4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709"/>
              <w:jc w:val="center"/>
              <w:rPr>
                <w:rFonts w:ascii="Times New Roman CYR" w:hAnsi="Times New Roman CYR" w:cs="Times New Roman CYR"/>
                <w:sz w:val="20"/>
                <w:szCs w:val="20"/>
              </w:rPr>
            </w:pPr>
            <w:r>
              <w:rPr>
                <w:rFonts w:cs="Times New Roman CYR" w:ascii="Times New Roman CYR" w:hAnsi="Times New Roman CYR"/>
                <w:sz w:val="20"/>
                <w:szCs w:val="20"/>
              </w:rPr>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709"/>
              <w:jc w:val="center"/>
              <w:rPr>
                <w:rFonts w:ascii="Times New Roman CYR" w:hAnsi="Times New Roman CYR" w:cs="Times New Roman CYR"/>
                <w:sz w:val="20"/>
                <w:szCs w:val="20"/>
              </w:rPr>
            </w:pPr>
            <w:r>
              <w:rPr>
                <w:rFonts w:cs="Times New Roman CYR" w:ascii="Times New Roman CYR" w:hAnsi="Times New Roman CYR"/>
                <w:sz w:val="20"/>
                <w:szCs w:val="20"/>
              </w:rPr>
            </w:r>
          </w:p>
        </w:tc>
        <w:tc>
          <w:tcPr>
            <w:tcW w:w="11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ИТОГО</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0</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0</w:t>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93"/>
              <w:jc w:val="center"/>
              <w:rPr/>
            </w:pPr>
            <w:r>
              <w:rPr>
                <w:rFonts w:cs="Times New Roman CYR" w:ascii="Times New Roman CYR" w:hAnsi="Times New Roman CYR"/>
                <w:sz w:val="20"/>
                <w:szCs w:val="20"/>
              </w:rPr>
              <w:t>ИТОГО</w:t>
            </w:r>
          </w:p>
        </w:tc>
        <w:tc>
          <w:tcPr>
            <w:tcW w:w="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uto" w:line="276" w:before="0" w:after="0"/>
              <w:ind w:left="0" w:right="0" w:hanging="0"/>
              <w:rPr>
                <w:rFonts w:ascii="Times New Roman CYR" w:hAnsi="Times New Roman CYR" w:cs="Times New Roman CYR"/>
                <w:sz w:val="20"/>
                <w:szCs w:val="20"/>
              </w:rPr>
            </w:pPr>
            <w:r>
              <w:rPr>
                <w:rFonts w:cs="Times New Roman CYR" w:ascii="Times New Roman CYR" w:hAnsi="Times New Roman CYR"/>
                <w:sz w:val="20"/>
                <w:szCs w:val="20"/>
              </w:rPr>
            </w:r>
          </w:p>
        </w:tc>
      </w:tr>
    </w:tbl>
    <w:p>
      <w:pPr>
        <w:pStyle w:val="Normal"/>
        <w:widowControl w:val="false"/>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За 2019 год объекты, которым выдавалось разрешение на строительство, вводились в эксплуатацию раньше, чем по истечению 3-х лет, на 2020-2022 годы ситуация по вводу объектов в эксплуатацию прогнозируется быть стабильной.</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26.2. иных объектов капитального строительства - в течение 5 лет</w:t>
      </w:r>
    </w:p>
    <w:tbl>
      <w:tblPr>
        <w:tblW w:w="9498" w:type="dxa"/>
        <w:jc w:val="left"/>
        <w:tblInd w:w="113" w:type="dxa"/>
        <w:tblLayout w:type="fixed"/>
        <w:tblCellMar>
          <w:top w:w="0" w:type="dxa"/>
          <w:left w:w="108" w:type="dxa"/>
          <w:bottom w:w="0" w:type="dxa"/>
          <w:right w:w="108" w:type="dxa"/>
        </w:tblCellMar>
      </w:tblPr>
      <w:tblGrid>
        <w:gridCol w:w="567"/>
        <w:gridCol w:w="1937"/>
        <w:gridCol w:w="1276"/>
        <w:gridCol w:w="2612"/>
        <w:gridCol w:w="1498"/>
        <w:gridCol w:w="1607"/>
      </w:tblGrid>
      <w:tr>
        <w:trPr/>
        <w:tc>
          <w:tcPr>
            <w:tcW w:w="9497"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firstLine="709"/>
              <w:rPr/>
            </w:pPr>
            <w:r>
              <w:rPr>
                <w:rFonts w:cs="Times New Roman CYR" w:ascii="Times New Roman CYR" w:hAnsi="Times New Roman CYR"/>
              </w:rPr>
              <w:t xml:space="preserve">26.2. Площадь земельных участков, предоставленных для </w:t>
            </w:r>
            <w:r>
              <w:rPr>
                <w:rFonts w:cs="Times New Roman CYR" w:ascii="Times New Roman CYR" w:hAnsi="Times New Roman CYR"/>
                <w:b/>
                <w:bCs/>
              </w:rPr>
              <w:t>иных объектов капитального строительства, в отношении</w:t>
            </w:r>
            <w:r>
              <w:rPr>
                <w:rFonts w:cs="Times New Roman CYR" w:ascii="Times New Roman CYR" w:hAnsi="Times New Roman CYR"/>
              </w:rPr>
              <w:t xml:space="preserve">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Pr>
                <w:rFonts w:cs="Times New Roman CYR" w:ascii="Times New Roman CYR" w:hAnsi="Times New Roman CYR"/>
                <w:b/>
                <w:bCs/>
              </w:rPr>
              <w:t>5 лет</w:t>
            </w:r>
            <w:r>
              <w:rPr>
                <w:rFonts w:cs="Times New Roman CYR" w:ascii="Times New Roman CYR" w:hAnsi="Times New Roman CYR"/>
              </w:rPr>
              <w:t>, кв.м.</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34"/>
              <w:jc w:val="center"/>
              <w:rPr/>
            </w:pPr>
            <w:r>
              <w:rPr>
                <w:rFonts w:cs="Times New Roman CYR" w:ascii="Times New Roman CYR" w:hAnsi="Times New Roman CYR"/>
              </w:rPr>
              <w:t xml:space="preserve">№ </w:t>
            </w:r>
            <w:r>
              <w:rPr>
                <w:rFonts w:cs="Times New Roman CYR" w:ascii="Times New Roman CYR" w:hAnsi="Times New Roman CYR"/>
              </w:rPr>
              <w:t>п/п</w:t>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101"/>
              <w:jc w:val="center"/>
              <w:rPr/>
            </w:pPr>
            <w:r>
              <w:rPr>
                <w:rFonts w:cs="Times New Roman CYR" w:ascii="Times New Roman CYR" w:hAnsi="Times New Roman CYR"/>
              </w:rPr>
              <w:t>Наименование и строительный адрес объекта</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101"/>
              <w:jc w:val="center"/>
              <w:rPr/>
            </w:pPr>
            <w:r>
              <w:rPr>
                <w:rFonts w:cs="Times New Roman CYR" w:ascii="Times New Roman CYR" w:hAnsi="Times New Roman CYR"/>
              </w:rPr>
              <w:t>Площадь земельных участков, кв.м.</w:t>
            </w:r>
          </w:p>
        </w:tc>
        <w:tc>
          <w:tcPr>
            <w:tcW w:w="26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101"/>
              <w:jc w:val="center"/>
              <w:rPr/>
            </w:pPr>
            <w:r>
              <w:rPr>
                <w:rFonts w:cs="Times New Roman CYR" w:ascii="Times New Roman CYR" w:hAnsi="Times New Roman CYR"/>
              </w:rPr>
              <w:t>Дата принятия решения о предоставлении земельного участка или подписания протокола о результатах торгов (конкурсов, аукционов)</w:t>
            </w:r>
          </w:p>
        </w:tc>
        <w:tc>
          <w:tcPr>
            <w:tcW w:w="14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101"/>
              <w:jc w:val="center"/>
              <w:rPr/>
            </w:pPr>
            <w:r>
              <w:rPr>
                <w:rFonts w:cs="Times New Roman CYR" w:ascii="Times New Roman CYR" w:hAnsi="Times New Roman CYR"/>
              </w:rPr>
              <w:t>Дата выдачи разрешения на строительство</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firstLine="101"/>
              <w:jc w:val="center"/>
              <w:rPr/>
            </w:pPr>
            <w:r>
              <w:rPr>
                <w:rFonts w:cs="Times New Roman CYR" w:ascii="Times New Roman CYR" w:hAnsi="Times New Roman CYR"/>
              </w:rPr>
              <w:t>Срок действия разрешения на строительство</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firstLine="709"/>
              <w:jc w:val="center"/>
              <w:rPr>
                <w:rFonts w:ascii="Times New Roman CYR" w:hAnsi="Times New Roman CYR" w:cs="Times New Roman CYR"/>
                <w:sz w:val="24"/>
                <w:szCs w:val="24"/>
              </w:rPr>
            </w:pPr>
            <w:r>
              <w:rPr>
                <w:rFonts w:cs="Times New Roman CYR" w:ascii="Times New Roman CYR" w:hAnsi="Times New Roman CYR"/>
                <w:sz w:val="24"/>
                <w:szCs w:val="24"/>
              </w:rPr>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firstLine="709"/>
              <w:jc w:val="center"/>
              <w:rPr/>
            </w:pPr>
            <w:r>
              <w:rPr>
                <w:rFonts w:cs="Times New Roman CYR" w:ascii="Times New Roman CYR" w:hAnsi="Times New Roman CYR"/>
              </w:rPr>
              <w:t>ИТОГО:</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firstLine="69"/>
              <w:jc w:val="center"/>
              <w:rPr/>
            </w:pPr>
            <w:r>
              <w:rPr>
                <w:rFonts w:cs="Times New Roman CYR" w:ascii="Times New Roman CYR" w:hAnsi="Times New Roman CYR"/>
              </w:rPr>
              <w:t>0</w:t>
            </w:r>
          </w:p>
        </w:tc>
        <w:tc>
          <w:tcPr>
            <w:tcW w:w="26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firstLine="709"/>
              <w:jc w:val="center"/>
              <w:rPr>
                <w:rFonts w:ascii="Times New Roman CYR" w:hAnsi="Times New Roman CYR" w:cs="Times New Roman CYR"/>
                <w:sz w:val="24"/>
                <w:szCs w:val="24"/>
              </w:rPr>
            </w:pPr>
            <w:r>
              <w:rPr>
                <w:rFonts w:cs="Times New Roman CYR" w:ascii="Times New Roman CYR" w:hAnsi="Times New Roman CYR"/>
                <w:sz w:val="24"/>
                <w:szCs w:val="24"/>
              </w:rPr>
            </w:r>
          </w:p>
        </w:tc>
        <w:tc>
          <w:tcPr>
            <w:tcW w:w="14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firstLine="709"/>
              <w:jc w:val="center"/>
              <w:rPr>
                <w:rFonts w:ascii="Times New Roman CYR" w:hAnsi="Times New Roman CYR" w:cs="Times New Roman CYR"/>
                <w:sz w:val="24"/>
                <w:szCs w:val="24"/>
              </w:rPr>
            </w:pPr>
            <w:r>
              <w:rPr>
                <w:rFonts w:cs="Times New Roman CYR" w:ascii="Times New Roman CYR" w:hAnsi="Times New Roman CYR"/>
                <w:sz w:val="24"/>
                <w:szCs w:val="24"/>
              </w:rPr>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firstLine="709"/>
              <w:jc w:val="center"/>
              <w:rPr>
                <w:rFonts w:ascii="Times New Roman CYR" w:hAnsi="Times New Roman CYR" w:cs="Times New Roman CYR"/>
                <w:sz w:val="24"/>
                <w:szCs w:val="24"/>
              </w:rPr>
            </w:pPr>
            <w:r>
              <w:rPr>
                <w:rFonts w:cs="Times New Roman CYR" w:ascii="Times New Roman CYR" w:hAnsi="Times New Roman CYR"/>
                <w:sz w:val="24"/>
                <w:szCs w:val="24"/>
              </w:rPr>
            </w:r>
          </w:p>
        </w:tc>
      </w:tr>
    </w:tbl>
    <w:p>
      <w:pPr>
        <w:pStyle w:val="Normal"/>
        <w:widowControl w:val="false"/>
        <w:bidi w:val="0"/>
        <w:spacing w:before="0" w:after="0"/>
        <w:ind w:left="0" w:right="0" w:firstLine="709"/>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На территории муниципального образования «город Шарыпово Красноярского края» по состоянию на 01.01.2020 года 256 многоквартирных домов.    Доля МКД,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по муниципальному образованию    «город Шарыпово Красноярского края»    по состоянию на 01.01.2020 года составила 100 %., в том числе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- 0,78 % граждан, проживающих в 2-х МКД был выбран способ управления товариществом собственников жилья;</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- 85,94 % граждан, проживающих в 220 МКД выбрали управление управляющей организацией;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- 13,28 % населения, проживающего в 34 МКД, выбрали и реализуют способ непосредственного управления собственниками жилых помещений. Изменение данных показателей, в соответствии с показателями предыдущего года, объясняется изменением собственниками помещений способа управления.</w:t>
      </w:r>
    </w:p>
    <w:p>
      <w:pPr>
        <w:pStyle w:val="Normal"/>
        <w:bidi w:val="0"/>
        <w:spacing w:before="0" w:after="0"/>
        <w:ind w:left="0" w:right="0" w:hanging="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pPr>
        <w:pStyle w:val="Normal"/>
        <w:widowControl w:val="false"/>
        <w:bidi w:val="0"/>
        <w:spacing w:before="0" w:after="0"/>
        <w:ind w:left="0" w:right="0" w:hanging="0"/>
        <w:jc w:val="both"/>
        <w:rPr>
          <w:rFonts w:ascii="Times New Roman CYR" w:hAnsi="Times New Roman CYR" w:cs="Times New Roman CYR"/>
          <w:sz w:val="28"/>
          <w:szCs w:val="28"/>
        </w:rPr>
      </w:pPr>
      <w:r>
        <w:rPr>
          <w:rFonts w:cs="Times New Roman CYR" w:ascii="Times New Roman CYR" w:hAnsi="Times New Roman CYR"/>
          <w:sz w:val="28"/>
          <w:szCs w:val="28"/>
        </w:rPr>
        <w:tab/>
        <w:t>Доля организаций коммунального комплекса, осуществляющих    оказание услуг по водо-, тепло-, 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городского округа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образования «город Шарыпово Красноярского края» составляет 100 %.</w:t>
      </w:r>
    </w:p>
    <w:p>
      <w:pPr>
        <w:pStyle w:val="Normal"/>
        <w:widowControl w:val="false"/>
        <w:bidi w:val="0"/>
        <w:spacing w:before="0" w:after="0"/>
        <w:ind w:left="0" w:right="0" w:hanging="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t>VII. Жилищно-коммунальное хозяйство</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t>29. Доля многоквартирных домов, расположенных на земельных участках, в отношении которых осуществлен государственный кадастровый учет</w:t>
      </w:r>
    </w:p>
    <w:tbl>
      <w:tblPr>
        <w:tblW w:w="9854" w:type="dxa"/>
        <w:jc w:val="left"/>
        <w:tblInd w:w="5" w:type="dxa"/>
        <w:tblLayout w:type="fixed"/>
        <w:tblCellMar>
          <w:top w:w="0" w:type="dxa"/>
          <w:left w:w="108" w:type="dxa"/>
          <w:bottom w:w="0" w:type="dxa"/>
          <w:right w:w="108" w:type="dxa"/>
        </w:tblCellMar>
      </w:tblPr>
      <w:tblGrid>
        <w:gridCol w:w="5352"/>
        <w:gridCol w:w="710"/>
        <w:gridCol w:w="863"/>
        <w:gridCol w:w="979"/>
        <w:gridCol w:w="981"/>
        <w:gridCol w:w="12"/>
        <w:gridCol w:w="956"/>
      </w:tblGrid>
      <w:tr>
        <w:trPr/>
        <w:tc>
          <w:tcPr>
            <w:tcW w:w="53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200"/>
              <w:ind w:left="0" w:right="0" w:hanging="0"/>
              <w:jc w:val="center"/>
              <w:rPr/>
            </w:pPr>
            <w:r>
              <w:rPr>
                <w:rFonts w:ascii="Times New Roman" w:hAnsi="Times New Roman"/>
              </w:rPr>
              <w:t>Наименование показателя</w:t>
            </w:r>
          </w:p>
        </w:tc>
        <w:tc>
          <w:tcPr>
            <w:tcW w:w="45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200"/>
              <w:ind w:left="0" w:right="0" w:hanging="0"/>
              <w:jc w:val="center"/>
              <w:rPr/>
            </w:pPr>
            <w:r>
              <w:rPr>
                <w:rFonts w:ascii="Times New Roman" w:hAnsi="Times New Roman"/>
              </w:rPr>
              <w:t>Значения показателя</w:t>
            </w:r>
          </w:p>
        </w:tc>
      </w:tr>
      <w:tr>
        <w:trPr/>
        <w:tc>
          <w:tcPr>
            <w:tcW w:w="535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rFonts w:ascii="Times New Roman" w:hAnsi="Times New Roman"/>
              </w:rPr>
            </w:pPr>
            <w:r>
              <w:rPr>
                <w:rFonts w:ascii="Times New Roman" w:hAnsi="Times New Roman"/>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rFonts w:ascii="Times New Roman" w:hAnsi="Times New Roman"/>
              </w:rPr>
            </w:pPr>
            <w:r>
              <w:rPr>
                <w:rFonts w:ascii="Times New Roman" w:hAnsi="Times New Roman"/>
              </w:rPr>
              <w:t>2018</w:t>
            </w:r>
          </w:p>
          <w:p>
            <w:pPr>
              <w:pStyle w:val="Normal"/>
              <w:widowControl w:val="false"/>
              <w:tabs>
                <w:tab w:val="clear" w:pos="720"/>
              </w:tabs>
              <w:bidi w:val="0"/>
              <w:spacing w:before="0" w:after="0"/>
              <w:ind w:left="0" w:right="0" w:hanging="0"/>
              <w:rPr/>
            </w:pPr>
            <w:r>
              <w:rPr>
                <w:rFonts w:ascii="Times New Roman" w:hAnsi="Times New Roman"/>
              </w:rPr>
              <w:t>факт</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rFonts w:ascii="Times New Roman" w:hAnsi="Times New Roman"/>
              </w:rPr>
            </w:pPr>
            <w:r>
              <w:rPr>
                <w:rFonts w:ascii="Times New Roman" w:hAnsi="Times New Roman"/>
              </w:rPr>
              <w:t>2019</w:t>
            </w:r>
          </w:p>
          <w:p>
            <w:pPr>
              <w:pStyle w:val="Normal"/>
              <w:widowControl w:val="false"/>
              <w:tabs>
                <w:tab w:val="clear" w:pos="720"/>
              </w:tabs>
              <w:bidi w:val="0"/>
              <w:spacing w:before="0" w:after="0"/>
              <w:ind w:left="0" w:right="0" w:hanging="0"/>
              <w:rPr/>
            </w:pPr>
            <w:r>
              <w:rPr>
                <w:rFonts w:ascii="Times New Roman" w:hAnsi="Times New Roman"/>
              </w:rPr>
              <w:t>факт</w:t>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rFonts w:ascii="Times New Roman" w:hAnsi="Times New Roman"/>
              </w:rPr>
            </w:pPr>
            <w:r>
              <w:rPr>
                <w:rFonts w:ascii="Times New Roman" w:hAnsi="Times New Roman"/>
              </w:rPr>
              <w:t>2020</w:t>
            </w:r>
          </w:p>
          <w:p>
            <w:pPr>
              <w:pStyle w:val="Normal"/>
              <w:widowControl w:val="false"/>
              <w:tabs>
                <w:tab w:val="clear" w:pos="720"/>
              </w:tabs>
              <w:bidi w:val="0"/>
              <w:spacing w:before="0" w:after="0"/>
              <w:ind w:left="0" w:right="0" w:hanging="0"/>
              <w:rPr/>
            </w:pPr>
            <w:r>
              <w:rPr>
                <w:rFonts w:ascii="Times New Roman" w:hAnsi="Times New Roman"/>
              </w:rPr>
              <w:t>оценка</w:t>
            </w:r>
          </w:p>
        </w:tc>
        <w:tc>
          <w:tcPr>
            <w:tcW w:w="9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rFonts w:ascii="Times New Roman" w:hAnsi="Times New Roman"/>
              </w:rPr>
            </w:pPr>
            <w:r>
              <w:rPr>
                <w:rFonts w:ascii="Times New Roman" w:hAnsi="Times New Roman"/>
              </w:rPr>
              <w:t>2021</w:t>
            </w:r>
          </w:p>
          <w:p>
            <w:pPr>
              <w:pStyle w:val="Normal"/>
              <w:widowControl w:val="false"/>
              <w:tabs>
                <w:tab w:val="clear" w:pos="720"/>
              </w:tabs>
              <w:bidi w:val="0"/>
              <w:spacing w:before="0" w:after="0"/>
              <w:ind w:left="0" w:right="0" w:hanging="0"/>
              <w:rPr/>
            </w:pPr>
            <w:r>
              <w:rPr>
                <w:rFonts w:ascii="Times New Roman" w:hAnsi="Times New Roman"/>
              </w:rPr>
              <w:t>прогноз</w:t>
            </w:r>
          </w:p>
        </w:tc>
        <w:tc>
          <w:tcPr>
            <w:tcW w:w="96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rFonts w:ascii="Times New Roman" w:hAnsi="Times New Roman"/>
              </w:rPr>
            </w:pPr>
            <w:r>
              <w:rPr>
                <w:rFonts w:ascii="Times New Roman" w:hAnsi="Times New Roman"/>
              </w:rPr>
              <w:t>2022</w:t>
            </w:r>
          </w:p>
          <w:p>
            <w:pPr>
              <w:pStyle w:val="Normal"/>
              <w:widowControl w:val="false"/>
              <w:tabs>
                <w:tab w:val="clear" w:pos="720"/>
              </w:tabs>
              <w:bidi w:val="0"/>
              <w:spacing w:before="0" w:after="0"/>
              <w:ind w:left="0" w:right="0" w:hanging="0"/>
              <w:rPr/>
            </w:pPr>
            <w:r>
              <w:rPr>
                <w:rFonts w:ascii="Times New Roman" w:hAnsi="Times New Roman"/>
              </w:rPr>
              <w:t>прогноз</w:t>
            </w:r>
          </w:p>
        </w:tc>
      </w:tr>
      <w:tr>
        <w:trPr>
          <w:trHeight w:val="725" w:hRule="atLeast"/>
        </w:trPr>
        <w:tc>
          <w:tcPr>
            <w:tcW w:w="53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ascii="Times New Roman" w:hAnsi="Times New Roman"/>
                <w:bCs/>
              </w:rPr>
              <w:t xml:space="preserve">1. Общее число многоквартирных домов </w:t>
              <w:br/>
              <w:t>по состоянию на конец отчетного периода, единиц (стр. 1.1+1.2), в том числе</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ascii="Times New Roman" w:hAnsi="Times New Roman"/>
              </w:rPr>
              <w:t>778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ascii="Times New Roman" w:hAnsi="Times New Roman"/>
              </w:rPr>
              <w:t>256</w:t>
            </w:r>
          </w:p>
        </w:tc>
        <w:tc>
          <w:tcPr>
            <w:tcW w:w="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ascii="Times New Roman" w:hAnsi="Times New Roman"/>
              </w:rPr>
              <w:t>256</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ascii="Times New Roman" w:hAnsi="Times New Roman"/>
              </w:rPr>
              <w:t>256</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ascii="Times New Roman" w:hAnsi="Times New Roman"/>
              </w:rPr>
              <w:t>256</w:t>
            </w:r>
          </w:p>
        </w:tc>
      </w:tr>
      <w:tr>
        <w:trPr/>
        <w:tc>
          <w:tcPr>
            <w:tcW w:w="53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ascii="Times New Roman" w:hAnsi="Times New Roman"/>
                <w:bCs/>
              </w:rPr>
              <w:t xml:space="preserve"> </w:t>
            </w:r>
            <w:r>
              <w:rPr>
                <w:rFonts w:ascii="Times New Roman" w:hAnsi="Times New Roman"/>
                <w:bCs/>
              </w:rPr>
              <w:t>1.1. дома блокированной застройки)</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ascii="Times New Roman" w:hAnsi="Times New Roman"/>
              </w:rPr>
              <w:t>522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ascii="Times New Roman" w:hAnsi="Times New Roman"/>
              </w:rPr>
              <w:t>х</w:t>
            </w:r>
          </w:p>
        </w:tc>
        <w:tc>
          <w:tcPr>
            <w:tcW w:w="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ascii="Times New Roman" w:hAnsi="Times New Roman"/>
              </w:rPr>
              <w:t>х</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ascii="Times New Roman" w:hAnsi="Times New Roman"/>
              </w:rPr>
              <w:t>х</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ascii="Times New Roman" w:hAnsi="Times New Roman"/>
              </w:rPr>
              <w:t>х</w:t>
            </w:r>
          </w:p>
        </w:tc>
      </w:tr>
      <w:tr>
        <w:trPr/>
        <w:tc>
          <w:tcPr>
            <w:tcW w:w="53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bCs/>
              </w:rPr>
              <w:t xml:space="preserve"> </w:t>
            </w:r>
            <w:r>
              <w:rPr>
                <w:rFonts w:ascii="Times New Roman" w:hAnsi="Times New Roman"/>
                <w:bCs/>
              </w:rPr>
              <w:t>1.2. многоквартирные дома (по данным статистического отчета 1-жилфонд строка 01 графа 6)</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256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256</w:t>
            </w:r>
          </w:p>
        </w:tc>
        <w:tc>
          <w:tcPr>
            <w:tcW w:w="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256</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256</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256</w:t>
            </w:r>
          </w:p>
        </w:tc>
      </w:tr>
      <w:tr>
        <w:trPr/>
        <w:tc>
          <w:tcPr>
            <w:tcW w:w="53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bCs/>
              </w:rPr>
              <w:t>2. Число многоквартирных домов, расположенных на земельных участках, в отношении которых осуществлен государственный кадастровый учет, ед. (стр. 2.1+стр. 2.2)</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rFonts w:ascii="Times New Roman" w:hAnsi="Times New Roman"/>
              </w:rPr>
            </w:pPr>
            <w:r>
              <w:rPr>
                <w:rFonts w:ascii="Times New Roman" w:hAnsi="Times New Roman"/>
              </w:rPr>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256</w:t>
            </w:r>
          </w:p>
        </w:tc>
        <w:tc>
          <w:tcPr>
            <w:tcW w:w="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256</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256</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256</w:t>
            </w:r>
          </w:p>
        </w:tc>
      </w:tr>
      <w:tr>
        <w:trPr/>
        <w:tc>
          <w:tcPr>
            <w:tcW w:w="53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bCs/>
              </w:rPr>
              <w:t xml:space="preserve"> </w:t>
            </w:r>
            <w:r>
              <w:rPr>
                <w:rFonts w:ascii="Times New Roman" w:hAnsi="Times New Roman"/>
                <w:bCs/>
              </w:rPr>
              <w:t>2.1.    дома блокированной застройки</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522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х</w:t>
            </w:r>
          </w:p>
        </w:tc>
        <w:tc>
          <w:tcPr>
            <w:tcW w:w="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х</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х</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х</w:t>
            </w:r>
          </w:p>
        </w:tc>
      </w:tr>
      <w:tr>
        <w:trPr/>
        <w:tc>
          <w:tcPr>
            <w:tcW w:w="53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bCs/>
              </w:rPr>
              <w:t xml:space="preserve"> </w:t>
            </w:r>
            <w:r>
              <w:rPr>
                <w:rFonts w:ascii="Times New Roman" w:hAnsi="Times New Roman"/>
                <w:bCs/>
              </w:rPr>
              <w:t>2.2. многоквартирные дома</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256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256</w:t>
            </w:r>
          </w:p>
        </w:tc>
        <w:tc>
          <w:tcPr>
            <w:tcW w:w="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256</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256</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ascii="Times New Roman" w:hAnsi="Times New Roman"/>
              </w:rPr>
              <w:t>256</w:t>
            </w:r>
          </w:p>
        </w:tc>
      </w:tr>
      <w:tr>
        <w:trPr>
          <w:trHeight w:val="990" w:hRule="atLeast"/>
        </w:trPr>
        <w:tc>
          <w:tcPr>
            <w:tcW w:w="53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ascii="Times New Roman" w:hAnsi="Times New Roman"/>
                <w:bCs/>
              </w:rPr>
              <w:t>3. Доля многоквартирных домов, расположенных на земельных участках, в отношении которых осуществлен государственный кадастровый учет, % (стр. 2/стр.1*100)</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ascii="Times New Roman" w:hAnsi="Times New Roman"/>
              </w:rPr>
              <w:t>93,3</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ascii="Times New Roman" w:hAnsi="Times New Roman"/>
              </w:rPr>
              <w:t>100</w:t>
            </w:r>
          </w:p>
        </w:tc>
        <w:tc>
          <w:tcPr>
            <w:tcW w:w="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ascii="Times New Roman" w:hAnsi="Times New Roman"/>
              </w:rPr>
              <w:t>100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ascii="Times New Roman" w:hAnsi="Times New Roman"/>
              </w:rPr>
              <w:t>100</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ascii="Times New Roman" w:hAnsi="Times New Roman"/>
              </w:rPr>
              <w:t>100</w:t>
            </w:r>
          </w:p>
        </w:tc>
      </w:tr>
    </w:tbl>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sz w:val="28"/>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(далее – доля населения) в 2019 году составила 1,73 %. </w:t>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В прогнозируемом периоде предоставление жилых помещений по договорам социального найма гражданам, нуждающимся в жилых помещениях, планируется за счет    освободившихся жилых помещений муниципального жилищного фонда, строительство нового жилья, предназначенного для предоставления по договорам социального найма гражданам, состоящим на учете в качестве нуждающихся в жилых помещениях, на территории города не ведется, соответственно идет уменьшение доли населения в прогнозируемом периоде.</w:t>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Одновременно ежегодно ведется работа по проверке обоснованности нахождения граждан на учете, нуждающихся в получении жилья, что ведет к уменьшению численности населения, состоящего на учете в качестве нуждающегося в жилых помещениях по договорам социального найма.</w:t>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r>
    </w:p>
    <w:tbl>
      <w:tblPr>
        <w:tblW w:w="9768" w:type="dxa"/>
        <w:jc w:val="left"/>
        <w:tblInd w:w="113" w:type="dxa"/>
        <w:tblLayout w:type="fixed"/>
        <w:tblCellMar>
          <w:top w:w="0" w:type="dxa"/>
          <w:left w:w="108" w:type="dxa"/>
          <w:bottom w:w="0" w:type="dxa"/>
          <w:right w:w="108" w:type="dxa"/>
        </w:tblCellMar>
      </w:tblPr>
      <w:tblGrid>
        <w:gridCol w:w="3828"/>
        <w:gridCol w:w="1260"/>
        <w:gridCol w:w="1260"/>
        <w:gridCol w:w="1079"/>
        <w:gridCol w:w="1260"/>
        <w:gridCol w:w="1080"/>
      </w:tblGrid>
      <w:tr>
        <w:trPr>
          <w:trHeight w:val="374" w:hRule="atLeast"/>
        </w:trPr>
        <w:tc>
          <w:tcPr>
            <w:tcW w:w="38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sz w:val="24"/>
                <w:szCs w:val="24"/>
              </w:rPr>
              <w:t>Показатель</w:t>
            </w:r>
          </w:p>
        </w:tc>
        <w:tc>
          <w:tcPr>
            <w:tcW w:w="5939"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Значение показателя</w:t>
            </w:r>
          </w:p>
        </w:tc>
      </w:tr>
      <w:tr>
        <w:trPr>
          <w:trHeight w:val="410" w:hRule="atLeast"/>
        </w:trPr>
        <w:tc>
          <w:tcPr>
            <w:tcW w:w="3828" w:type="dxa"/>
            <w:vMerge w:val="continue"/>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rPr>
            </w:pPr>
            <w:r>
              <w:rPr>
                <w:rFonts w:cs="Times New Roman CYR" w:ascii="Times New Roman CYR" w:hAnsi="Times New Roman CYR"/>
                <w:color w:val="000000"/>
              </w:rPr>
              <w:t>2018</w:t>
            </w:r>
          </w:p>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 xml:space="preserve"> </w:t>
            </w:r>
            <w:r>
              <w:rPr>
                <w:rFonts w:cs="Times New Roman CYR" w:ascii="Times New Roman CYR" w:hAnsi="Times New Roman CYR"/>
                <w:color w:val="000000"/>
              </w:rPr>
              <w:t>факт</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rPr>
            </w:pPr>
            <w:r>
              <w:rPr>
                <w:rFonts w:cs="Times New Roman CYR" w:ascii="Times New Roman CYR" w:hAnsi="Times New Roman CYR"/>
                <w:color w:val="000000"/>
              </w:rPr>
              <w:t xml:space="preserve">2019 </w:t>
            </w:r>
          </w:p>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 xml:space="preserve">факт </w:t>
            </w:r>
          </w:p>
        </w:tc>
        <w:tc>
          <w:tcPr>
            <w:tcW w:w="10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2020 оценка</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2021 прогноз</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2022 прогноз</w:t>
            </w:r>
          </w:p>
        </w:tc>
      </w:tr>
      <w:tr>
        <w:trPr>
          <w:trHeight w:val="1533" w:hRule="atLeast"/>
        </w:trPr>
        <w:tc>
          <w:tcPr>
            <w:tcW w:w="38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both"/>
              <w:rPr/>
            </w:pPr>
            <w:r>
              <w:rPr>
                <w:rFonts w:cs="Times New Roman CYR" w:ascii="Times New Roman CYR" w:hAnsi="Times New Roman CYR"/>
                <w:color w:val="000000"/>
              </w:rPr>
              <w:t xml:space="preserve">1. Численность населения (семей), получившего жилые помещения и улучшившего жилищные условия </w:t>
            </w:r>
            <w:r>
              <w:rPr>
                <w:rFonts w:cs="Times New Roman CYR" w:ascii="Times New Roman CYR" w:hAnsi="Times New Roman CYR"/>
                <w:b/>
                <w:bCs/>
                <w:color w:val="000000"/>
              </w:rPr>
              <w:t>по договору социального найма</w:t>
            </w:r>
            <w:r>
              <w:rPr>
                <w:rFonts w:cs="Times New Roman CYR" w:ascii="Times New Roman CYR" w:hAnsi="Times New Roman CYR"/>
                <w:color w:val="000000"/>
              </w:rPr>
              <w:t xml:space="preserve"> в отчетном году, чел.</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sz w:val="20"/>
                <w:szCs w:val="20"/>
              </w:rPr>
              <w:t>4</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sz w:val="20"/>
                <w:szCs w:val="20"/>
              </w:rPr>
              <w:t>11</w:t>
            </w:r>
          </w:p>
        </w:tc>
        <w:tc>
          <w:tcPr>
            <w:tcW w:w="10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sz w:val="20"/>
                <w:szCs w:val="20"/>
              </w:rPr>
              <w:t>4</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sz w:val="20"/>
                <w:szCs w:val="20"/>
              </w:rPr>
              <w:t>4</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sz w:val="20"/>
                <w:szCs w:val="20"/>
              </w:rPr>
              <w:t>4</w:t>
            </w:r>
          </w:p>
        </w:tc>
      </w:tr>
      <w:tr>
        <w:trPr>
          <w:trHeight w:val="1521" w:hRule="atLeast"/>
        </w:trPr>
        <w:tc>
          <w:tcPr>
            <w:tcW w:w="38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both"/>
              <w:rPr/>
            </w:pPr>
            <w:r>
              <w:rPr>
                <w:rFonts w:cs="Times New Roman CYR" w:ascii="Times New Roman CYR" w:hAnsi="Times New Roman CYR"/>
                <w:color w:val="000000"/>
              </w:rPr>
              <w:t xml:space="preserve">2. Численность населения (семей), состоящего на учете в качестве нуждающегося в жилых помещениях </w:t>
            </w:r>
            <w:r>
              <w:rPr>
                <w:rFonts w:cs="Times New Roman CYR" w:ascii="Times New Roman CYR" w:hAnsi="Times New Roman CYR"/>
                <w:b/>
                <w:bCs/>
                <w:color w:val="000000"/>
              </w:rPr>
              <w:t>по договорам социального найма</w:t>
            </w:r>
            <w:r>
              <w:rPr>
                <w:rFonts w:cs="Times New Roman CYR" w:ascii="Times New Roman CYR" w:hAnsi="Times New Roman CYR"/>
                <w:color w:val="000000"/>
              </w:rPr>
              <w:t xml:space="preserve"> </w:t>
            </w:r>
            <w:r>
              <w:rPr>
                <w:rFonts w:cs="Times New Roman CYR" w:ascii="Times New Roman CYR" w:hAnsi="Times New Roman CYR"/>
                <w:b/>
                <w:bCs/>
                <w:color w:val="000000"/>
              </w:rPr>
              <w:t>на конец прошлого года</w:t>
            </w:r>
            <w:r>
              <w:rPr>
                <w:rFonts w:cs="Times New Roman CYR" w:ascii="Times New Roman CYR" w:hAnsi="Times New Roman CYR"/>
                <w:color w:val="000000"/>
              </w:rPr>
              <w:t>, чел.</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647</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637</w:t>
            </w:r>
          </w:p>
        </w:tc>
        <w:tc>
          <w:tcPr>
            <w:tcW w:w="10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593</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586</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579</w:t>
            </w:r>
          </w:p>
        </w:tc>
      </w:tr>
      <w:tr>
        <w:trPr>
          <w:trHeight w:val="557" w:hRule="atLeast"/>
        </w:trPr>
        <w:tc>
          <w:tcPr>
            <w:tcW w:w="38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both"/>
              <w:rPr/>
            </w:pPr>
            <w:r>
              <w:rPr>
                <w:rFonts w:cs="Times New Roman CYR" w:ascii="Times New Roman CYR" w:hAnsi="Times New Roman CYR"/>
                <w:color w:val="000000"/>
              </w:rPr>
              <w:t>3.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(стр.1/стр.2*100)</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0,62</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1,73</w:t>
            </w:r>
          </w:p>
        </w:tc>
        <w:tc>
          <w:tcPr>
            <w:tcW w:w="10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0,67</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0,68</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0,69</w:t>
            </w:r>
          </w:p>
        </w:tc>
      </w:tr>
    </w:tbl>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VIII. Организация муниципального управления</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tbl>
      <w:tblPr>
        <w:tblW w:w="9735" w:type="dxa"/>
        <w:jc w:val="left"/>
        <w:tblInd w:w="98" w:type="dxa"/>
        <w:tblLayout w:type="fixed"/>
        <w:tblCellMar>
          <w:top w:w="0" w:type="dxa"/>
          <w:left w:w="108" w:type="dxa"/>
          <w:bottom w:w="0" w:type="dxa"/>
          <w:right w:w="108" w:type="dxa"/>
        </w:tblCellMar>
      </w:tblPr>
      <w:tblGrid>
        <w:gridCol w:w="1275"/>
        <w:gridCol w:w="1440"/>
        <w:gridCol w:w="1439"/>
        <w:gridCol w:w="1260"/>
        <w:gridCol w:w="1441"/>
        <w:gridCol w:w="1440"/>
        <w:gridCol w:w="1439"/>
      </w:tblGrid>
      <w:tr>
        <w:trPr>
          <w:trHeight w:val="569" w:hRule="atLeast"/>
        </w:trPr>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Единица измерения</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2017</w:t>
            </w:r>
          </w:p>
        </w:tc>
        <w:tc>
          <w:tcPr>
            <w:tcW w:w="14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2018</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2019</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2020 оценка</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2021 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2022 прогноз</w:t>
            </w:r>
          </w:p>
        </w:tc>
      </w:tr>
      <w:tr>
        <w:trPr>
          <w:trHeight w:val="521" w:hRule="atLeast"/>
        </w:trPr>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процент</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33,23</w:t>
            </w:r>
          </w:p>
        </w:tc>
        <w:tc>
          <w:tcPr>
            <w:tcW w:w="14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31,41</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30,26</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28,21</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28,98</w:t>
            </w:r>
          </w:p>
        </w:tc>
        <w:tc>
          <w:tcPr>
            <w:tcW w:w="14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rPr>
              <w:t>29,41</w:t>
            </w:r>
          </w:p>
        </w:tc>
      </w:tr>
    </w:tbl>
    <w:p>
      <w:pPr>
        <w:pStyle w:val="Normal"/>
        <w:widowControl w:val="false"/>
        <w:bidi w:val="0"/>
        <w:spacing w:before="0" w:after="0"/>
        <w:ind w:left="0" w:right="0" w:hanging="0"/>
        <w:rPr>
          <w:rFonts w:ascii="Times New Roman CYR" w:hAnsi="Times New Roman CYR" w:cs="Times New Roman CYR"/>
          <w:b/>
          <w:bCs/>
          <w:sz w:val="24"/>
          <w:szCs w:val="24"/>
          <w:u w:val="single"/>
        </w:rPr>
      </w:pPr>
      <w:r>
        <w:rPr>
          <w:rFonts w:cs="Times New Roman CYR" w:ascii="Times New Roman CYR" w:hAnsi="Times New Roman CYR"/>
          <w:b/>
          <w:bCs/>
          <w:sz w:val="24"/>
          <w:szCs w:val="24"/>
          <w:u w:val="single"/>
        </w:rPr>
      </w:r>
    </w:p>
    <w:p>
      <w:pPr>
        <w:pStyle w:val="Normal"/>
        <w:bidi w:val="0"/>
        <w:spacing w:before="0" w:after="0"/>
        <w:ind w:left="0" w:right="-30" w:firstLine="426"/>
        <w:jc w:val="both"/>
        <w:rPr>
          <w:rFonts w:ascii="Times New Roman CYR" w:hAnsi="Times New Roman CYR" w:cs="Times New Roman CYR"/>
          <w:sz w:val="28"/>
          <w:szCs w:val="28"/>
        </w:rPr>
      </w:pPr>
      <w:r>
        <w:rPr>
          <w:rFonts w:cs="Times New Roman CYR" w:ascii="Times New Roman CYR" w:hAnsi="Times New Roman CYR"/>
          <w:sz w:val="28"/>
          <w:szCs w:val="28"/>
        </w:rPr>
        <w:t xml:space="preserve">На снижение доли налоговых и неналоговых доходов в общем объеме собственных доходов в 2019 году по отношению к 2018 году повлияло увеличение средств краевого бюджета полученных в виде субсидий на решение вопросов бюджета городского округа города Шарыпово (субсидии на повышение заработной платы). Отклонение доли составило на 1,15%. </w:t>
      </w:r>
    </w:p>
    <w:p>
      <w:pPr>
        <w:pStyle w:val="Normal"/>
        <w:bidi w:val="0"/>
        <w:spacing w:before="0" w:after="0"/>
        <w:ind w:left="0" w:right="0" w:firstLine="570"/>
        <w:jc w:val="both"/>
        <w:rPr>
          <w:rFonts w:ascii="Times New Roman CYR" w:hAnsi="Times New Roman CYR" w:cs="Times New Roman CYR"/>
          <w:sz w:val="28"/>
          <w:szCs w:val="28"/>
        </w:rPr>
      </w:pPr>
      <w:r>
        <w:rPr>
          <w:rFonts w:cs="Times New Roman CYR" w:ascii="Times New Roman CYR" w:hAnsi="Times New Roman CYR"/>
          <w:sz w:val="28"/>
          <w:szCs w:val="28"/>
        </w:rPr>
        <w:t xml:space="preserve">В 2020 году по сравнению с 2019 годом прогнозируется снижение доли налоговых и неналоговых доходов в общем объеме собственных доходов. На снижение данного показателя повлияло увеличение общего объема собственных доходов на 70165,22 тыс. руб. из-за увеличения объема привлеченных средств виде субсидий из всех уровней бюджета.    </w:t>
      </w:r>
    </w:p>
    <w:p>
      <w:pPr>
        <w:pStyle w:val="Normal"/>
        <w:tabs>
          <w:tab w:val="clear" w:pos="720"/>
          <w:tab w:val="right" w:pos="993" w:leader="none"/>
        </w:tabs>
        <w:bidi w:val="0"/>
        <w:spacing w:before="0" w:after="0"/>
        <w:ind w:left="0" w:right="0" w:hanging="0"/>
        <w:jc w:val="both"/>
        <w:rPr>
          <w:rFonts w:ascii="Times New Roman CYR" w:hAnsi="Times New Roman CYR" w:cs="Times New Roman CYR"/>
          <w:sz w:val="28"/>
          <w:szCs w:val="28"/>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В 2021 году по сравнению с 2020 годом прогнозируется рост доли налоговых и неналоговых доходов в общем объеме собственных доходов. Также следует отметить, что происходит снижение общего объема собственных доходов на 81083,7 тыс. рублей, это обусловлено тем, что в первоначальном бюджете не учтены в полном объеме средства субсидий из бюджета других уровней, так как вышеуказанные средства поступают в течении года. А также происходит снижение объема налоговых и неналоговых доходов в связи с прекращением действия Главы 26.3 «Система налогообложения в виде единого налога на вмененный доход для отдельных видов деятельности» НК РФ;</w:t>
      </w:r>
    </w:p>
    <w:p>
      <w:pPr>
        <w:pStyle w:val="Normal"/>
        <w:tabs>
          <w:tab w:val="clear" w:pos="720"/>
          <w:tab w:val="right" w:pos="993" w:leader="none"/>
        </w:tabs>
        <w:bidi w:val="0"/>
        <w:spacing w:before="0" w:after="0"/>
        <w:ind w:left="0" w:right="0" w:hanging="0"/>
        <w:jc w:val="both"/>
        <w:rPr>
          <w:rFonts w:ascii="Times New Roman CYR" w:hAnsi="Times New Roman CYR" w:cs="Times New Roman CYR"/>
          <w:sz w:val="28"/>
          <w:szCs w:val="28"/>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В 2022 году по сравнению с 2021 годом прогнозируется рост доли налоговых и неналоговых доходов в общем объеме собственных доходов. Также следует отметить, что происходит снижение общего объема собственных доходов на 11814,8 тыс. рублей, это обусловлено тем, что в первоначальном бюджете не учтены в полном объеме средства субсидий из бюджета других уровней, так как вышеуказанные средства поступают в течении года. А также происходит снижение объема налоговых и неналоговых доходов в связи с прекращением действия Главы 26.3 «Система налогообложения в виде единого налога на вмененный доход для отдельных видов деятельности» НК РФ.</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b/>
          <w:bCs/>
          <w:color w:val="000000"/>
          <w:sz w:val="28"/>
          <w:szCs w:val="28"/>
        </w:rPr>
      </w:pPr>
      <w:r>
        <w:rPr>
          <w:rFonts w:cs="Times New Roman CYR" w:ascii="Times New Roman CYR" w:hAnsi="Times New Roman CYR"/>
          <w:b/>
          <w:bCs/>
          <w:color w:val="000000"/>
          <w:sz w:val="28"/>
          <w:szCs w:val="28"/>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На территории муниципального образования город Шарыпово отсутствуют организации муниципальной формы собственности, находящиеся в стадии банкротства.</w:t>
      </w:r>
    </w:p>
    <w:p>
      <w:pPr>
        <w:pStyle w:val="Normal"/>
        <w:widowControl w:val="false"/>
        <w:bidi w:val="0"/>
        <w:spacing w:before="10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10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33. Объем не завершенного в установленные сроки строительства, осуществляемого за счет средств бюджета городского округа (муниципального района)</w:t>
      </w:r>
    </w:p>
    <w:p>
      <w:pPr>
        <w:pStyle w:val="Normal"/>
        <w:bidi w:val="0"/>
        <w:spacing w:before="0" w:after="0"/>
        <w:ind w:left="0" w:right="0" w:firstLine="709"/>
        <w:jc w:val="both"/>
        <w:rPr>
          <w:rFonts w:ascii="Times New Roman CYR" w:hAnsi="Times New Roman CYR" w:cs="Times New Roman CYR"/>
          <w:sz w:val="14"/>
          <w:szCs w:val="14"/>
        </w:rPr>
      </w:pPr>
      <w:r>
        <w:rPr>
          <w:rFonts w:cs="Times New Roman CYR" w:ascii="Times New Roman CYR" w:hAnsi="Times New Roman CYR"/>
          <w:sz w:val="28"/>
          <w:szCs w:val="28"/>
        </w:rPr>
        <w:t>На территории муниципального образования г. Шарыпово объекты, строящиеся за счет средств города сданы в установленные сроки, строительство осуществляется своевременно.</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Просроченная кредиторская задолженность по оплате труда (включая начисления на оплату труда) муниципальных учреждений </w:t>
      </w:r>
      <w:r>
        <w:rPr>
          <w:rFonts w:cs="Times New Roman CYR" w:ascii="Times New Roman CYR" w:hAnsi="Times New Roman CYR"/>
          <w:kern w:val="2"/>
          <w:sz w:val="28"/>
          <w:szCs w:val="28"/>
        </w:rPr>
        <w:t>отсутствует.</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tbl>
      <w:tblPr>
        <w:tblW w:w="9680" w:type="dxa"/>
        <w:jc w:val="left"/>
        <w:tblInd w:w="118" w:type="dxa"/>
        <w:tblLayout w:type="fixed"/>
        <w:tblCellMar>
          <w:top w:w="0" w:type="dxa"/>
          <w:left w:w="108" w:type="dxa"/>
          <w:bottom w:w="0" w:type="dxa"/>
          <w:right w:w="108" w:type="dxa"/>
        </w:tblCellMar>
      </w:tblPr>
      <w:tblGrid>
        <w:gridCol w:w="423"/>
        <w:gridCol w:w="3116"/>
        <w:gridCol w:w="798"/>
        <w:gridCol w:w="948"/>
        <w:gridCol w:w="946"/>
        <w:gridCol w:w="880"/>
        <w:gridCol w:w="837"/>
        <w:gridCol w:w="902"/>
        <w:gridCol w:w="829"/>
      </w:tblGrid>
      <w:tr>
        <w:trPr>
          <w:trHeight w:val="1156" w:hRule="atLeast"/>
        </w:trPr>
        <w:tc>
          <w:tcPr>
            <w:tcW w:w="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color w:val="000000"/>
                <w:sz w:val="18"/>
                <w:szCs w:val="18"/>
              </w:rPr>
              <w:t>35</w:t>
            </w:r>
          </w:p>
        </w:tc>
        <w:tc>
          <w:tcPr>
            <w:tcW w:w="3116"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firstLine="31"/>
              <w:rPr/>
            </w:pPr>
            <w:r>
              <w:rPr>
                <w:rFonts w:cs="Times New Roman CYR" w:ascii="Times New Roman CYR" w:hAnsi="Times New Roman CYR"/>
                <w:color w:val="000000"/>
                <w:sz w:val="18"/>
                <w:szCs w:val="1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798"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sz w:val="18"/>
                <w:szCs w:val="18"/>
              </w:rPr>
              <w:t>рублей</w:t>
            </w:r>
          </w:p>
        </w:tc>
        <w:tc>
          <w:tcPr>
            <w:tcW w:w="948"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right"/>
              <w:rPr/>
            </w:pPr>
            <w:r>
              <w:rPr>
                <w:rFonts w:cs="Times New Roman CYR" w:ascii="Times New Roman CYR" w:hAnsi="Times New Roman CYR"/>
                <w:color w:val="000000"/>
                <w:sz w:val="18"/>
                <w:szCs w:val="18"/>
              </w:rPr>
              <w:t>1201,75</w:t>
            </w:r>
          </w:p>
        </w:tc>
        <w:tc>
          <w:tcPr>
            <w:tcW w:w="946" w:type="dxa"/>
            <w:tcBorders>
              <w:top w:val="single" w:sz="4" w:space="0" w:color="000000"/>
              <w:bottom w:val="single" w:sz="4" w:space="0" w:color="000000"/>
            </w:tcBorders>
            <w:vAlign w:val="center"/>
          </w:tcPr>
          <w:p>
            <w:pPr>
              <w:pStyle w:val="Normal"/>
              <w:widowControl w:val="false"/>
              <w:tabs>
                <w:tab w:val="clear" w:pos="720"/>
              </w:tabs>
              <w:bidi w:val="0"/>
              <w:spacing w:before="0" w:after="0"/>
              <w:ind w:left="0" w:right="0" w:hanging="0"/>
              <w:jc w:val="right"/>
              <w:rPr/>
            </w:pPr>
            <w:r>
              <w:rPr>
                <w:rFonts w:cs="Times New Roman CYR" w:ascii="Times New Roman CYR" w:hAnsi="Times New Roman CYR"/>
                <w:color w:val="000000"/>
                <w:sz w:val="18"/>
                <w:szCs w:val="18"/>
              </w:rPr>
              <w:t>1351,32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right"/>
              <w:rPr/>
            </w:pPr>
            <w:r>
              <w:rPr>
                <w:rFonts w:cs="Calibri"/>
                <w:color w:val="000000"/>
                <w:sz w:val="18"/>
                <w:szCs w:val="18"/>
              </w:rPr>
              <w:t>1593,13</w:t>
            </w:r>
          </w:p>
        </w:tc>
        <w:tc>
          <w:tcPr>
            <w:tcW w:w="837"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right"/>
              <w:rPr/>
            </w:pPr>
            <w:r>
              <w:rPr>
                <w:rFonts w:cs="Times New Roman CYR" w:ascii="Times New Roman CYR" w:hAnsi="Times New Roman CYR"/>
                <w:color w:val="000000"/>
                <w:sz w:val="18"/>
                <w:szCs w:val="18"/>
              </w:rPr>
              <w:t>1253,45</w:t>
            </w:r>
          </w:p>
        </w:tc>
        <w:tc>
          <w:tcPr>
            <w:tcW w:w="902"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right"/>
              <w:rPr/>
            </w:pPr>
            <w:r>
              <w:rPr>
                <w:rFonts w:cs="Times New Roman CYR" w:ascii="Times New Roman CYR" w:hAnsi="Times New Roman CYR"/>
                <w:color w:val="000000"/>
                <w:sz w:val="18"/>
                <w:szCs w:val="18"/>
              </w:rPr>
              <w:t>1438,26</w:t>
            </w:r>
          </w:p>
        </w:tc>
        <w:tc>
          <w:tcPr>
            <w:tcW w:w="829"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right"/>
              <w:rPr/>
            </w:pPr>
            <w:r>
              <w:rPr>
                <w:rFonts w:cs="Times New Roman CYR" w:ascii="Times New Roman CYR" w:hAnsi="Times New Roman CYR"/>
                <w:color w:val="000000"/>
                <w:sz w:val="18"/>
                <w:szCs w:val="18"/>
              </w:rPr>
              <w:t>1443,04</w:t>
            </w:r>
          </w:p>
        </w:tc>
      </w:tr>
    </w:tbl>
    <w:p>
      <w:pPr>
        <w:pStyle w:val="Normal"/>
        <w:widowControl w:val="false"/>
        <w:bidi w:val="0"/>
        <w:spacing w:before="0" w:after="0"/>
        <w:ind w:left="0" w:right="0" w:hanging="0"/>
        <w:jc w:val="both"/>
        <w:rPr>
          <w:rFonts w:ascii="Times New Roman CYR" w:hAnsi="Times New Roman CYR" w:cs="Times New Roman CYR"/>
          <w:sz w:val="26"/>
          <w:szCs w:val="26"/>
        </w:rPr>
      </w:pPr>
      <w:r>
        <w:rPr>
          <w:rFonts w:cs="Times New Roman CYR" w:ascii="Times New Roman CYR" w:hAnsi="Times New Roman CYR"/>
          <w:sz w:val="26"/>
          <w:szCs w:val="26"/>
        </w:rPr>
      </w:r>
    </w:p>
    <w:p>
      <w:pPr>
        <w:pStyle w:val="Normal"/>
        <w:bidi w:val="0"/>
        <w:spacing w:before="0" w:after="0"/>
        <w:ind w:left="0" w:right="0" w:firstLine="540"/>
        <w:jc w:val="both"/>
        <w:rPr>
          <w:rFonts w:ascii="Times New Roman CYR" w:hAnsi="Times New Roman CYR" w:cs="Times New Roman CYR"/>
          <w:color w:val="000000"/>
          <w:sz w:val="28"/>
          <w:szCs w:val="28"/>
        </w:rPr>
      </w:pPr>
      <w:r>
        <w:rPr>
          <w:rFonts w:cs="Times New Roman CYR" w:ascii="Times New Roman CYR" w:hAnsi="Times New Roman CYR"/>
          <w:sz w:val="28"/>
          <w:szCs w:val="28"/>
        </w:rPr>
        <w:t>Увеличение показателя «</w:t>
      </w:r>
      <w:r>
        <w:rPr>
          <w:rFonts w:cs="Times New Roman CYR" w:ascii="Times New Roman CYR" w:hAnsi="Times New Roman CYR"/>
          <w:color w:val="000000"/>
          <w:sz w:val="28"/>
          <w:szCs w:val="28"/>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за 2019 год по сравнению с 2018 годом сложилось в связи с увеличением заработной платы муниципальным служащим на 20% с 01.09.2018 года в соответствии с Законом Красноярского края от </w:t>
      </w:r>
      <w:r>
        <w:rPr>
          <w:rFonts w:cs="Times New Roman CYR" w:ascii="Times New Roman CYR" w:hAnsi="Times New Roman CYR"/>
          <w:sz w:val="28"/>
          <w:szCs w:val="28"/>
        </w:rPr>
        <w:t>07.06.2018 № 5-1683 «О внесении изменений в Закон края «О краевом бюджете на 2018 год и плановый период 2019-2020 годов»</w:t>
      </w:r>
      <w:r>
        <w:rPr>
          <w:rFonts w:cs="Times New Roman CYR" w:ascii="Times New Roman CYR" w:hAnsi="Times New Roman CYR"/>
          <w:color w:val="000000"/>
          <w:sz w:val="28"/>
          <w:szCs w:val="28"/>
        </w:rPr>
        <w:t xml:space="preserve"> работникам бюджетной сферы на 4,3 % с 01.10.2019 года в соответствии с Законом Красноярского края от 06.12.2018 года № 6-2299 «О краевом бюджете на 2019 год и плановый период 2020-2021 годов».</w:t>
      </w:r>
    </w:p>
    <w:p>
      <w:pPr>
        <w:pStyle w:val="Normal"/>
        <w:bidi w:val="0"/>
        <w:spacing w:before="0" w:after="0"/>
        <w:ind w:left="0" w:right="0" w:firstLine="540"/>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Уменьшение показателя на 2020 год по сравнению с 2019 годом сложилось в результате того, что в соответствии с Законом Красноярского края от 05.12.2019 года № 8-3414 «О краевом бюджете на 2020 год и плановый период 2021-2022 годов» средства на осуществление государственных полномочий по организации деятельности органов управления системой социальной защиты населения с 01.01.2020 года переданы на краевой уровень.</w:t>
      </w:r>
    </w:p>
    <w:p>
      <w:pPr>
        <w:pStyle w:val="Normal"/>
        <w:bidi w:val="0"/>
        <w:spacing w:before="0" w:after="0"/>
        <w:ind w:left="0" w:right="0" w:firstLine="540"/>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 xml:space="preserve">При расчете показателя на 2021-2020 годы учтены средства на повышение заработной платы муниципальным служащим в размере 20 % в соответствии с Законом Красноярского края от 02.04.2020 года № 9-3811 «О внесении изменений и дополнений в Закон Красноярского края от 05.12.2019 № 8-3414 «О краевом бюджете на 2020 год и плановый период 2021-2022 годов». </w:t>
      </w:r>
    </w:p>
    <w:p>
      <w:pPr>
        <w:pStyle w:val="Normal"/>
        <w:bidi w:val="0"/>
        <w:spacing w:before="0" w:after="0"/>
        <w:ind w:left="0" w:right="0" w:firstLine="540"/>
        <w:jc w:val="both"/>
        <w:rPr>
          <w:rFonts w:ascii="Times New Roman CYR" w:hAnsi="Times New Roman CYR" w:cs="Times New Roman CYR"/>
          <w:sz w:val="24"/>
          <w:szCs w:val="24"/>
        </w:rPr>
      </w:pPr>
      <w:r>
        <w:rPr>
          <w:rFonts w:cs="Times New Roman CYR" w:ascii="Times New Roman CYR" w:hAnsi="Times New Roman CYR"/>
          <w:color w:val="000000"/>
          <w:sz w:val="28"/>
          <w:szCs w:val="28"/>
        </w:rPr>
        <w:t>Кроме того, на изменение показателей по всем периодам повлияло ежегодное уменьшение численности населения.</w:t>
      </w:r>
      <w:r>
        <w:rPr>
          <w:rFonts w:cs="Times New Roman CYR" w:ascii="Times New Roman CYR" w:hAnsi="Times New Roman CYR"/>
          <w:color w:val="000000"/>
          <w:sz w:val="24"/>
          <w:szCs w:val="24"/>
        </w:rPr>
        <w:t xml:space="preserve">      </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Градостроительная документация на территории муниципального образования г. Шарыпово утверждена 15 декабря 2009 года. </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37. Удовлетворенность населения деятельностью местного самоуправления городского округа (муниципального района)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Уровень удовлетворенности населения деятельностью органов местного самоуправления муниципального образования г. Шарыпово в 2019 году составил 32,20%, что выше на 6,3 процентных пункта к уровню 2018 года.</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38. Среднегодовая численность постоянного населения</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Среднегодовая численность населения города за 2019 год составила 46084чел. (46372-2017г). Численность населения сократилась за счет естественной убыли населения. Количество родившихся за 2019 год составило 443 чел., что на 12,3% меньше уровня 2018 года. Число умерших составило 605 чел. (628-2018г.). Естественная убыль населения за год составила (-)162 чел.</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В течение 2018 года на территорию муниципального образования г. Шарыпово прибыло 2145 чел., выбыло 2095 чел., миграционный прирост составил 50 чел.</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Город Шарыпово принимает участие в реализации мероприятий программы Красноярского края «Оказание содействия добровольному переселению в Красноярский край соотечественников, проживающих за рубежом, на 2013-2020 годы», в течение 2019 года на территорию прибыло 3 чел.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На протяжении последних лет отмечается ежегодное снижение численности населения. Согласно оценке к концу 2022 года на территории муниципального образования город Шарыпово будет проживать 45658 человек. Среднегодовая численность постоянного населения составит 45718 человек.</w:t>
      </w:r>
    </w:p>
    <w:p>
      <w:pPr>
        <w:pStyle w:val="Normal"/>
        <w:widowControl w:val="false"/>
        <w:bidi w:val="0"/>
        <w:spacing w:before="0" w:after="0"/>
        <w:ind w:left="0" w:right="0" w:hanging="0"/>
        <w:rPr>
          <w:rFonts w:ascii="Times New Roman CYR" w:hAnsi="Times New Roman CYR" w:cs="Times New Roman CYR"/>
          <w:color w:val="000000"/>
          <w:sz w:val="12"/>
          <w:szCs w:val="12"/>
        </w:rPr>
      </w:pPr>
      <w:r>
        <w:rPr>
          <w:rFonts w:cs="Times New Roman CYR" w:ascii="Times New Roman CYR" w:hAnsi="Times New Roman CYR"/>
          <w:color w:val="000000"/>
          <w:sz w:val="12"/>
          <w:szCs w:val="12"/>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IX. Энергосбережение и повышение энергетической эффективности</w:t>
      </w:r>
    </w:p>
    <w:p>
      <w:pPr>
        <w:pStyle w:val="Normal"/>
        <w:widowControl w:val="false"/>
        <w:bidi w:val="0"/>
        <w:spacing w:before="0" w:after="0"/>
        <w:ind w:left="0" w:right="0" w:hanging="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39. Удельная величина потребления энергетических ресурсов (электрическая и тепловая энергия, вода, природный газ) в многоквартирных домах</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Показатель по электроэнергии (39.1) в 2019 году незначительно увеличился, в связи с увеличением площади жилищного фонда. На период 2020-2022 годов показатель останется на уровне 2019 года.</w:t>
      </w:r>
    </w:p>
    <w:p>
      <w:pPr>
        <w:pStyle w:val="Normal"/>
        <w:bidi w:val="0"/>
        <w:spacing w:before="0" w:after="0"/>
        <w:ind w:left="0" w:right="0" w:firstLine="709"/>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bidi w:val="0"/>
        <w:spacing w:before="0" w:after="0"/>
        <w:ind w:left="0" w:right="0" w:firstLine="709"/>
        <w:jc w:val="right"/>
        <w:rPr>
          <w:rFonts w:ascii="Arial CYR" w:hAnsi="Arial CYR" w:cs="Arial CYR"/>
          <w:sz w:val="20"/>
          <w:szCs w:val="20"/>
        </w:rPr>
      </w:pPr>
      <w:r>
        <w:rPr>
          <w:rFonts w:cs="Times New Roman CYR" w:ascii="Times New Roman CYR" w:hAnsi="Times New Roman CYR"/>
          <w:sz w:val="24"/>
          <w:szCs w:val="24"/>
        </w:rPr>
        <w:t>Расшифровка показателя №39.1</w:t>
      </w:r>
    </w:p>
    <w:tbl>
      <w:tblPr>
        <w:tblW w:w="9782" w:type="dxa"/>
        <w:jc w:val="left"/>
        <w:tblInd w:w="-29" w:type="dxa"/>
        <w:tblLayout w:type="fixed"/>
        <w:tblCellMar>
          <w:top w:w="0" w:type="dxa"/>
          <w:left w:w="108" w:type="dxa"/>
          <w:bottom w:w="0" w:type="dxa"/>
          <w:right w:w="108" w:type="dxa"/>
        </w:tblCellMar>
      </w:tblPr>
      <w:tblGrid>
        <w:gridCol w:w="567"/>
        <w:gridCol w:w="1985"/>
        <w:gridCol w:w="992"/>
        <w:gridCol w:w="1133"/>
        <w:gridCol w:w="1277"/>
        <w:gridCol w:w="1275"/>
        <w:gridCol w:w="1277"/>
        <w:gridCol w:w="1274"/>
      </w:tblGrid>
      <w:tr>
        <w:trPr>
          <w:trHeight w:val="4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w:t>
            </w:r>
          </w:p>
        </w:tc>
        <w:tc>
          <w:tcPr>
            <w:tcW w:w="1985"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Наименование показателя</w:t>
            </w:r>
          </w:p>
        </w:tc>
        <w:tc>
          <w:tcPr>
            <w:tcW w:w="992"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Единицы измерения</w:t>
            </w:r>
          </w:p>
        </w:tc>
        <w:tc>
          <w:tcPr>
            <w:tcW w:w="1133"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2018</w:t>
            </w:r>
          </w:p>
        </w:tc>
        <w:tc>
          <w:tcPr>
            <w:tcW w:w="1277"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2019 отчет</w:t>
            </w:r>
          </w:p>
        </w:tc>
        <w:tc>
          <w:tcPr>
            <w:tcW w:w="1275"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2020 оценка</w:t>
            </w:r>
          </w:p>
        </w:tc>
        <w:tc>
          <w:tcPr>
            <w:tcW w:w="1277"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2021 прогноз</w:t>
            </w:r>
          </w:p>
        </w:tc>
        <w:tc>
          <w:tcPr>
            <w:tcW w:w="1274"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2022 прогноз</w:t>
            </w:r>
          </w:p>
        </w:tc>
      </w:tr>
      <w:tr>
        <w:trPr>
          <w:trHeight w:val="705" w:hRule="atLeast"/>
        </w:trPr>
        <w:tc>
          <w:tcPr>
            <w:tcW w:w="567"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39.1</w:t>
            </w:r>
          </w:p>
        </w:tc>
        <w:tc>
          <w:tcPr>
            <w:tcW w:w="1985"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электрическая энергия</w:t>
            </w:r>
          </w:p>
        </w:tc>
        <w:tc>
          <w:tcPr>
            <w:tcW w:w="992"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 xml:space="preserve"> </w:t>
            </w:r>
            <w:r>
              <w:rPr>
                <w:rFonts w:cs="Times New Roman CYR" w:ascii="Times New Roman CYR" w:hAnsi="Times New Roman CYR"/>
                <w:sz w:val="20"/>
                <w:szCs w:val="20"/>
              </w:rPr>
              <w:t>кВт·ч на 1 проживающего</w:t>
            </w:r>
          </w:p>
        </w:tc>
        <w:tc>
          <w:tcPr>
            <w:tcW w:w="1133"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922,19</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929,62</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929,62</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929,62</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929,62</w:t>
            </w:r>
          </w:p>
        </w:tc>
      </w:tr>
      <w:tr>
        <w:trPr>
          <w:trHeight w:val="450" w:hRule="atLeast"/>
        </w:trPr>
        <w:tc>
          <w:tcPr>
            <w:tcW w:w="567"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 </w:t>
            </w:r>
          </w:p>
        </w:tc>
        <w:tc>
          <w:tcPr>
            <w:tcW w:w="1985"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объем потребления электрической энергии в многоквартирных домах</w:t>
            </w:r>
          </w:p>
        </w:tc>
        <w:tc>
          <w:tcPr>
            <w:tcW w:w="992"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кВТч</w:t>
            </w:r>
          </w:p>
        </w:tc>
        <w:tc>
          <w:tcPr>
            <w:tcW w:w="1133"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38700428,0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38313423,66</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38313423,66</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38313423,66</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38313423,66</w:t>
            </w:r>
          </w:p>
        </w:tc>
      </w:tr>
      <w:tr>
        <w:trPr>
          <w:trHeight w:val="675"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 </w:t>
            </w:r>
          </w:p>
        </w:tc>
        <w:tc>
          <w:tcPr>
            <w:tcW w:w="1985"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число проживающих в многоквартирных домах, которым отпущен соответствующий энергетический ресурс</w:t>
            </w:r>
          </w:p>
        </w:tc>
        <w:tc>
          <w:tcPr>
            <w:tcW w:w="992"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человек</w:t>
            </w:r>
          </w:p>
        </w:tc>
        <w:tc>
          <w:tcPr>
            <w:tcW w:w="1133"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41966</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41437</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200"/>
              <w:ind w:left="0" w:right="0" w:hanging="0"/>
              <w:jc w:val="center"/>
              <w:rPr/>
            </w:pPr>
            <w:r>
              <w:rPr>
                <w:rFonts w:cs="Times New Roman CYR" w:ascii="Times New Roman CYR" w:hAnsi="Times New Roman CYR"/>
                <w:sz w:val="18"/>
                <w:szCs w:val="18"/>
              </w:rPr>
              <w:t>41437</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200"/>
              <w:ind w:left="0" w:right="0" w:hanging="0"/>
              <w:jc w:val="center"/>
              <w:rPr/>
            </w:pPr>
            <w:r>
              <w:rPr>
                <w:rFonts w:cs="Times New Roman CYR" w:ascii="Times New Roman CYR" w:hAnsi="Times New Roman CYR"/>
                <w:sz w:val="18"/>
                <w:szCs w:val="18"/>
              </w:rPr>
              <w:t>41437</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200"/>
              <w:ind w:left="0" w:right="0" w:hanging="0"/>
              <w:jc w:val="center"/>
              <w:rPr/>
            </w:pPr>
            <w:r>
              <w:rPr>
                <w:rFonts w:cs="Times New Roman CYR" w:ascii="Times New Roman CYR" w:hAnsi="Times New Roman CYR"/>
                <w:sz w:val="18"/>
                <w:szCs w:val="18"/>
              </w:rPr>
              <w:t>41437</w:t>
            </w:r>
          </w:p>
        </w:tc>
      </w:tr>
      <w:tr>
        <w:trPr>
          <w:trHeight w:val="675"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rFonts w:ascii="Times New Roman CYR" w:hAnsi="Times New Roman CYR" w:cs="Times New Roman CYR"/>
                <w:sz w:val="20"/>
                <w:szCs w:val="20"/>
              </w:rPr>
            </w:pPr>
            <w:r>
              <w:rPr>
                <w:rFonts w:cs="Times New Roman CYR" w:ascii="Times New Roman CYR" w:hAnsi="Times New Roman CYR"/>
                <w:sz w:val="20"/>
                <w:szCs w:val="20"/>
              </w:rPr>
            </w:r>
          </w:p>
        </w:tc>
        <w:tc>
          <w:tcPr>
            <w:tcW w:w="1985" w:type="dxa"/>
            <w:tcBorders>
              <w:top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cs="Times New Roman CYR" w:ascii="Times New Roman CYR" w:hAnsi="Times New Roman CYR"/>
                <w:sz w:val="20"/>
                <w:szCs w:val="20"/>
              </w:rPr>
              <w:t>общая площадь жилых помещений в многоквартирных домах</w:t>
            </w:r>
          </w:p>
        </w:tc>
        <w:tc>
          <w:tcPr>
            <w:tcW w:w="992" w:type="dxa"/>
            <w:tcBorders>
              <w:top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sz w:val="20"/>
                <w:szCs w:val="20"/>
              </w:rPr>
              <w:t>кв. метр</w:t>
            </w:r>
          </w:p>
        </w:tc>
        <w:tc>
          <w:tcPr>
            <w:tcW w:w="1133" w:type="dxa"/>
            <w:tcBorders>
              <w:top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sz w:val="18"/>
                <w:szCs w:val="18"/>
              </w:rPr>
              <w:t>974581,9</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rFonts w:ascii="Times New Roman CYR" w:hAnsi="Times New Roman CYR" w:cs="Times New Roman CYR"/>
                <w:sz w:val="18"/>
                <w:szCs w:val="18"/>
              </w:rPr>
            </w:pPr>
            <w:r>
              <w:rPr>
                <w:rFonts w:cs="Times New Roman CYR" w:ascii="Times New Roman CYR" w:hAnsi="Times New Roman CYR"/>
                <w:sz w:val="18"/>
                <w:szCs w:val="18"/>
              </w:rPr>
              <w:t>977757,5</w:t>
            </w:r>
          </w:p>
          <w:p>
            <w:pPr>
              <w:pStyle w:val="Normal"/>
              <w:widowControl w:val="false"/>
              <w:bidi w:val="0"/>
              <w:spacing w:before="0" w:after="0"/>
              <w:ind w:left="0" w:right="0" w:hanging="0"/>
              <w:jc w:val="center"/>
              <w:rPr>
                <w:rFonts w:ascii="Times New Roman CYR" w:hAnsi="Times New Roman CYR" w:cs="Times New Roman CYR"/>
                <w:sz w:val="18"/>
                <w:szCs w:val="18"/>
              </w:rPr>
            </w:pPr>
            <w:r>
              <w:rPr>
                <w:rFonts w:cs="Times New Roman CYR" w:ascii="Times New Roman CYR" w:hAnsi="Times New Roman CYR"/>
                <w:sz w:val="18"/>
                <w:szCs w:val="18"/>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sz w:val="18"/>
                <w:szCs w:val="18"/>
              </w:rPr>
              <w:t>977757,5</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rFonts w:ascii="Times New Roman CYR" w:hAnsi="Times New Roman CYR" w:cs="Times New Roman CYR"/>
                <w:sz w:val="18"/>
                <w:szCs w:val="18"/>
              </w:rPr>
            </w:pPr>
            <w:r>
              <w:rPr>
                <w:rFonts w:cs="Times New Roman CYR" w:ascii="Times New Roman CYR" w:hAnsi="Times New Roman CYR"/>
                <w:sz w:val="18"/>
                <w:szCs w:val="18"/>
              </w:rPr>
              <w:t>977757,5</w:t>
            </w:r>
          </w:p>
          <w:p>
            <w:pPr>
              <w:pStyle w:val="Normal"/>
              <w:widowControl w:val="false"/>
              <w:bidi w:val="0"/>
              <w:spacing w:before="0" w:after="0"/>
              <w:ind w:left="0" w:right="0" w:hanging="0"/>
              <w:jc w:val="center"/>
              <w:rPr>
                <w:rFonts w:ascii="Times New Roman CYR" w:hAnsi="Times New Roman CYR" w:cs="Times New Roman CYR"/>
                <w:sz w:val="18"/>
                <w:szCs w:val="18"/>
              </w:rPr>
            </w:pPr>
            <w:r>
              <w:rPr>
                <w:rFonts w:cs="Times New Roman CYR" w:ascii="Times New Roman CYR" w:hAnsi="Times New Roman CYR"/>
                <w:sz w:val="18"/>
                <w:szCs w:val="18"/>
              </w:rPr>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rFonts w:ascii="Times New Roman CYR" w:hAnsi="Times New Roman CYR" w:cs="Times New Roman CYR"/>
                <w:sz w:val="18"/>
                <w:szCs w:val="18"/>
              </w:rPr>
            </w:pPr>
            <w:r>
              <w:rPr>
                <w:rFonts w:cs="Times New Roman CYR" w:ascii="Times New Roman CYR" w:hAnsi="Times New Roman CYR"/>
                <w:sz w:val="18"/>
                <w:szCs w:val="18"/>
              </w:rPr>
              <w:t>977757,5</w:t>
            </w:r>
          </w:p>
          <w:p>
            <w:pPr>
              <w:pStyle w:val="Normal"/>
              <w:widowControl w:val="false"/>
              <w:bidi w:val="0"/>
              <w:spacing w:before="0" w:after="0"/>
              <w:ind w:left="0" w:right="0" w:hanging="0"/>
              <w:jc w:val="center"/>
              <w:rPr>
                <w:rFonts w:ascii="Times New Roman CYR" w:hAnsi="Times New Roman CYR" w:cs="Times New Roman CYR"/>
                <w:sz w:val="18"/>
                <w:szCs w:val="18"/>
              </w:rPr>
            </w:pPr>
            <w:r>
              <w:rPr>
                <w:rFonts w:cs="Times New Roman CYR" w:ascii="Times New Roman CYR" w:hAnsi="Times New Roman CYR"/>
                <w:sz w:val="18"/>
                <w:szCs w:val="18"/>
              </w:rPr>
            </w:r>
          </w:p>
        </w:tc>
      </w:tr>
    </w:tbl>
    <w:p>
      <w:pPr>
        <w:pStyle w:val="Normal"/>
        <w:widowControl w:val="false"/>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Показатель тепловой энергии (39.2) в 2019 году сохранился на уровне 2018 года, несмотря на увеличение площади жилых помещений в многоквартирных домах в 2019 году на 3 175,6 м</w:t>
      </w:r>
      <w:r>
        <w:rPr>
          <w:rFonts w:cs="Times New Roman CYR" w:ascii="Times New Roman CYR" w:hAnsi="Times New Roman CYR"/>
          <w:sz w:val="28"/>
          <w:szCs w:val="28"/>
          <w:vertAlign w:val="superscript"/>
        </w:rPr>
        <w:t xml:space="preserve">2 </w:t>
      </w:r>
      <w:r>
        <w:rPr>
          <w:rFonts w:cs="Times New Roman CYR" w:ascii="Times New Roman CYR" w:hAnsi="Times New Roman CYR"/>
          <w:sz w:val="28"/>
          <w:szCs w:val="28"/>
        </w:rPr>
        <w:t>по</w:t>
      </w:r>
      <w:r>
        <w:rPr>
          <w:rFonts w:cs="Times New Roman CYR" w:ascii="Times New Roman CYR" w:hAnsi="Times New Roman CYR"/>
          <w:sz w:val="28"/>
          <w:szCs w:val="28"/>
          <w:vertAlign w:val="superscript"/>
        </w:rPr>
        <w:t xml:space="preserve"> </w:t>
      </w:r>
      <w:r>
        <w:rPr>
          <w:rFonts w:cs="Times New Roman CYR" w:ascii="Times New Roman CYR" w:hAnsi="Times New Roman CYR"/>
          <w:sz w:val="28"/>
          <w:szCs w:val="28"/>
        </w:rPr>
        <w:t>отношению к 2018 году (в связи с движением жилищного фонда из нежилого в жилое использование). Сохранение показателя на уровне 2018 года обусловлено достаточно высокой среднесуточной температурой отопительного периода. Среднесуточная температура отопительного периода (сентябрь – май):</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2018 год – (-) 4,2 оС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2019 год – (-) 2,7 оС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Прогнозируемые показатели на 2020-2022 годы останутся на уровне 2019 года. </w:t>
      </w:r>
    </w:p>
    <w:p>
      <w:pPr>
        <w:pStyle w:val="Normal"/>
        <w:bidi w:val="0"/>
        <w:spacing w:before="0" w:after="0"/>
        <w:ind w:left="0" w:right="0" w:firstLine="709"/>
        <w:jc w:val="right"/>
        <w:rPr>
          <w:rFonts w:ascii="Times New Roman CYR" w:hAnsi="Times New Roman CYR" w:cs="Times New Roman CYR"/>
          <w:sz w:val="24"/>
          <w:szCs w:val="24"/>
        </w:rPr>
      </w:pPr>
      <w:r>
        <w:rPr>
          <w:rFonts w:cs="Times New Roman CYR" w:ascii="Times New Roman CYR" w:hAnsi="Times New Roman CYR"/>
          <w:sz w:val="24"/>
          <w:szCs w:val="24"/>
        </w:rPr>
        <w:t>Таблица 27. Расшифровка показателя №39.2</w:t>
      </w:r>
    </w:p>
    <w:tbl>
      <w:tblPr>
        <w:tblW w:w="9924" w:type="dxa"/>
        <w:jc w:val="left"/>
        <w:tblInd w:w="-171" w:type="dxa"/>
        <w:tblLayout w:type="fixed"/>
        <w:tblCellMar>
          <w:top w:w="0" w:type="dxa"/>
          <w:left w:w="108" w:type="dxa"/>
          <w:bottom w:w="0" w:type="dxa"/>
          <w:right w:w="108" w:type="dxa"/>
        </w:tblCellMar>
      </w:tblPr>
      <w:tblGrid>
        <w:gridCol w:w="567"/>
        <w:gridCol w:w="2694"/>
        <w:gridCol w:w="1418"/>
        <w:gridCol w:w="991"/>
        <w:gridCol w:w="992"/>
        <w:gridCol w:w="1135"/>
        <w:gridCol w:w="1134"/>
        <w:gridCol w:w="991"/>
      </w:tblGrid>
      <w:tr>
        <w:trPr>
          <w:trHeight w:val="4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w:t>
            </w:r>
          </w:p>
        </w:tc>
        <w:tc>
          <w:tcPr>
            <w:tcW w:w="2694"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Наименование показателя</w:t>
            </w:r>
          </w:p>
        </w:tc>
        <w:tc>
          <w:tcPr>
            <w:tcW w:w="1418"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Единицы измерения</w:t>
            </w:r>
          </w:p>
        </w:tc>
        <w:tc>
          <w:tcPr>
            <w:tcW w:w="991"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2018</w:t>
            </w:r>
          </w:p>
        </w:tc>
        <w:tc>
          <w:tcPr>
            <w:tcW w:w="992"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2019 отчет</w:t>
            </w:r>
          </w:p>
        </w:tc>
        <w:tc>
          <w:tcPr>
            <w:tcW w:w="1135"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2020 оценка</w:t>
            </w:r>
          </w:p>
        </w:tc>
        <w:tc>
          <w:tcPr>
            <w:tcW w:w="1134"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2021 прогноз</w:t>
            </w:r>
          </w:p>
        </w:tc>
        <w:tc>
          <w:tcPr>
            <w:tcW w:w="991"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2022 прогноз</w:t>
            </w:r>
          </w:p>
        </w:tc>
      </w:tr>
      <w:tr>
        <w:trPr>
          <w:trHeight w:val="450" w:hRule="atLeast"/>
        </w:trPr>
        <w:tc>
          <w:tcPr>
            <w:tcW w:w="567"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39.2</w:t>
            </w:r>
          </w:p>
        </w:tc>
        <w:tc>
          <w:tcPr>
            <w:tcW w:w="2694"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тепловая энергия</w:t>
            </w:r>
          </w:p>
        </w:tc>
        <w:tc>
          <w:tcPr>
            <w:tcW w:w="1418"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Гкал на 1 кв. метр общей площади</w:t>
            </w:r>
          </w:p>
        </w:tc>
        <w:tc>
          <w:tcPr>
            <w:tcW w:w="991"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0,21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0,21</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0,21</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0,21</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0,21</w:t>
            </w:r>
          </w:p>
        </w:tc>
      </w:tr>
      <w:tr>
        <w:trPr>
          <w:trHeight w:val="450" w:hRule="atLeast"/>
        </w:trPr>
        <w:tc>
          <w:tcPr>
            <w:tcW w:w="567" w:type="dxa"/>
            <w:tcBorders>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rPr/>
            </w:pPr>
            <w:r>
              <w:rPr>
                <w:rFonts w:cs="Times New Roman CYR" w:ascii="Times New Roman CYR" w:hAnsi="Times New Roman CYR"/>
                <w:sz w:val="20"/>
                <w:szCs w:val="20"/>
              </w:rPr>
              <w:t> </w:t>
            </w:r>
          </w:p>
        </w:tc>
        <w:tc>
          <w:tcPr>
            <w:tcW w:w="2694" w:type="dxa"/>
            <w:tcBorders>
              <w:bottom w:val="single" w:sz="4" w:space="0" w:color="000000"/>
              <w:right w:val="single" w:sz="4" w:space="0" w:color="000000"/>
            </w:tcBorders>
            <w:vAlign w:val="center"/>
          </w:tcPr>
          <w:p>
            <w:pPr>
              <w:pStyle w:val="Normal"/>
              <w:widowControl w:val="false"/>
              <w:bidi w:val="0"/>
              <w:spacing w:before="0" w:after="0"/>
              <w:ind w:left="0" w:right="0" w:hanging="0"/>
              <w:rPr/>
            </w:pPr>
            <w:r>
              <w:rPr>
                <w:rFonts w:cs="Times New Roman CYR" w:ascii="Times New Roman CYR" w:hAnsi="Times New Roman CYR"/>
                <w:sz w:val="20"/>
                <w:szCs w:val="20"/>
              </w:rPr>
              <w:t>объем потребленной тепловой энергии в многоквартирных домах</w:t>
            </w:r>
          </w:p>
        </w:tc>
        <w:tc>
          <w:tcPr>
            <w:tcW w:w="1418" w:type="dxa"/>
            <w:tcBorders>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sz w:val="20"/>
                <w:szCs w:val="20"/>
              </w:rPr>
              <w:t>Гкал</w:t>
            </w:r>
          </w:p>
        </w:tc>
        <w:tc>
          <w:tcPr>
            <w:tcW w:w="991" w:type="dxa"/>
            <w:tcBorders>
              <w:top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sz w:val="18"/>
                <w:szCs w:val="18"/>
              </w:rPr>
              <w:t>207879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cs="Times New Roman CYR" w:ascii="Times New Roman CYR" w:hAnsi="Times New Roman CYR"/>
                <w:sz w:val="18"/>
                <w:szCs w:val="18"/>
              </w:rPr>
              <w:t>209176,5</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76" w:before="0" w:after="200"/>
              <w:ind w:left="0" w:right="0" w:hanging="0"/>
              <w:jc w:val="center"/>
              <w:rPr/>
            </w:pPr>
            <w:r>
              <w:rPr>
                <w:rFonts w:cs="Times New Roman CYR" w:ascii="Times New Roman CYR" w:hAnsi="Times New Roman CYR"/>
                <w:sz w:val="18"/>
                <w:szCs w:val="18"/>
              </w:rPr>
              <w:t>209176,5</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76" w:before="0" w:after="200"/>
              <w:ind w:left="0" w:right="0" w:hanging="0"/>
              <w:jc w:val="center"/>
              <w:rPr/>
            </w:pPr>
            <w:r>
              <w:rPr>
                <w:rFonts w:cs="Times New Roman CYR" w:ascii="Times New Roman CYR" w:hAnsi="Times New Roman CYR"/>
                <w:sz w:val="18"/>
                <w:szCs w:val="18"/>
              </w:rPr>
              <w:t>209176,5</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76" w:before="0" w:after="200"/>
              <w:ind w:left="0" w:right="0" w:hanging="0"/>
              <w:jc w:val="center"/>
              <w:rPr/>
            </w:pPr>
            <w:r>
              <w:rPr>
                <w:rFonts w:cs="Times New Roman CYR" w:ascii="Times New Roman CYR" w:hAnsi="Times New Roman CYR"/>
                <w:sz w:val="18"/>
                <w:szCs w:val="18"/>
              </w:rPr>
              <w:t>209176,5</w:t>
            </w:r>
          </w:p>
        </w:tc>
      </w:tr>
      <w:tr>
        <w:trPr>
          <w:trHeight w:val="675"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 </w:t>
            </w:r>
          </w:p>
        </w:tc>
        <w:tc>
          <w:tcPr>
            <w:tcW w:w="2694"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общая площадь жилых помещений в многоквартирных домах</w:t>
            </w:r>
          </w:p>
        </w:tc>
        <w:tc>
          <w:tcPr>
            <w:tcW w:w="1418"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кв. метр</w:t>
            </w:r>
          </w:p>
        </w:tc>
        <w:tc>
          <w:tcPr>
            <w:tcW w:w="991"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974581,9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977757,5</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977757,5</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977757,5</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18"/>
                <w:szCs w:val="18"/>
              </w:rPr>
              <w:t>977757,5</w:t>
            </w:r>
          </w:p>
        </w:tc>
      </w:tr>
    </w:tbl>
    <w:p>
      <w:pPr>
        <w:pStyle w:val="Normal"/>
        <w:widowControl w:val="false"/>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sz w:val="28"/>
          <w:szCs w:val="28"/>
        </w:rPr>
        <w:t xml:space="preserve">Текущий показатель по горячей воде (39.3) снизился по сравнению с 2018 годом на 6,77%, что </w:t>
      </w:r>
      <w:r>
        <w:rPr>
          <w:rFonts w:cs="Times New Roman CYR" w:ascii="Times New Roman CYR" w:hAnsi="Times New Roman CYR"/>
          <w:color w:val="000000"/>
          <w:sz w:val="28"/>
          <w:szCs w:val="28"/>
        </w:rPr>
        <w:t xml:space="preserve">обусловлено снижением объема потребления горячей воды по индивидуальным приборам учета, снижением численности проживающих граждан, экономией. </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прогнозируемом периоде 2020-2022 годов показатель останется на уровне 2019 года.</w:t>
      </w:r>
    </w:p>
    <w:p>
      <w:pPr>
        <w:pStyle w:val="Normal"/>
        <w:bidi w:val="0"/>
        <w:spacing w:before="0" w:after="0"/>
        <w:ind w:left="0" w:right="0" w:firstLine="709"/>
        <w:jc w:val="right"/>
        <w:rPr>
          <w:rFonts w:ascii="Times New Roman CYR" w:hAnsi="Times New Roman CYR" w:cs="Times New Roman CYR"/>
          <w:sz w:val="24"/>
          <w:szCs w:val="24"/>
        </w:rPr>
      </w:pPr>
      <w:r>
        <w:rPr>
          <w:rFonts w:cs="Times New Roman CYR" w:ascii="Times New Roman CYR" w:hAnsi="Times New Roman CYR"/>
          <w:sz w:val="24"/>
          <w:szCs w:val="24"/>
        </w:rPr>
        <w:t>Расшифровка показателя №39.3</w:t>
      </w:r>
    </w:p>
    <w:tbl>
      <w:tblPr>
        <w:tblW w:w="9989" w:type="dxa"/>
        <w:jc w:val="left"/>
        <w:tblInd w:w="-171" w:type="dxa"/>
        <w:tblLayout w:type="fixed"/>
        <w:tblCellMar>
          <w:top w:w="0" w:type="dxa"/>
          <w:left w:w="108" w:type="dxa"/>
          <w:bottom w:w="0" w:type="dxa"/>
          <w:right w:w="108" w:type="dxa"/>
        </w:tblCellMar>
      </w:tblPr>
      <w:tblGrid>
        <w:gridCol w:w="568"/>
        <w:gridCol w:w="2267"/>
        <w:gridCol w:w="1626"/>
        <w:gridCol w:w="991"/>
        <w:gridCol w:w="1134"/>
        <w:gridCol w:w="1135"/>
        <w:gridCol w:w="1190"/>
        <w:gridCol w:w="1076"/>
      </w:tblGrid>
      <w:tr>
        <w:trPr>
          <w:trHeight w:val="420" w:hRule="atLeast"/>
        </w:trPr>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w:t>
            </w:r>
          </w:p>
        </w:tc>
        <w:tc>
          <w:tcPr>
            <w:tcW w:w="2267"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Наименование показателя</w:t>
            </w:r>
          </w:p>
        </w:tc>
        <w:tc>
          <w:tcPr>
            <w:tcW w:w="1626"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Единицы измерения</w:t>
            </w:r>
          </w:p>
        </w:tc>
        <w:tc>
          <w:tcPr>
            <w:tcW w:w="991"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2018</w:t>
            </w:r>
          </w:p>
        </w:tc>
        <w:tc>
          <w:tcPr>
            <w:tcW w:w="1134"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2019 отчет</w:t>
            </w:r>
          </w:p>
        </w:tc>
        <w:tc>
          <w:tcPr>
            <w:tcW w:w="1135"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2020 оценка</w:t>
            </w:r>
          </w:p>
        </w:tc>
        <w:tc>
          <w:tcPr>
            <w:tcW w:w="1190"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2021 прогноз</w:t>
            </w:r>
          </w:p>
        </w:tc>
        <w:tc>
          <w:tcPr>
            <w:tcW w:w="1076"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2022 прогноз</w:t>
            </w:r>
          </w:p>
        </w:tc>
      </w:tr>
      <w:tr>
        <w:trPr>
          <w:trHeight w:val="450" w:hRule="atLeast"/>
        </w:trPr>
        <w:tc>
          <w:tcPr>
            <w:tcW w:w="568"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39.3</w:t>
            </w:r>
          </w:p>
        </w:tc>
        <w:tc>
          <w:tcPr>
            <w:tcW w:w="2267"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горячая вода</w:t>
            </w:r>
          </w:p>
        </w:tc>
        <w:tc>
          <w:tcPr>
            <w:tcW w:w="1626"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куб.метров на 1 проживающего</w:t>
            </w:r>
          </w:p>
        </w:tc>
        <w:tc>
          <w:tcPr>
            <w:tcW w:w="991"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12,85</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11,98</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11,98</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11,98</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11,98</w:t>
            </w:r>
          </w:p>
        </w:tc>
      </w:tr>
      <w:tr>
        <w:trPr>
          <w:trHeight w:val="450" w:hRule="atLeast"/>
        </w:trPr>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 </w:t>
            </w:r>
          </w:p>
        </w:tc>
        <w:tc>
          <w:tcPr>
            <w:tcW w:w="2267"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объем потребления воды (холодной) в многоквартирных домах</w:t>
            </w:r>
          </w:p>
        </w:tc>
        <w:tc>
          <w:tcPr>
            <w:tcW w:w="1626"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куб.м</w:t>
            </w:r>
          </w:p>
        </w:tc>
        <w:tc>
          <w:tcPr>
            <w:tcW w:w="991"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539277,9</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496255,55</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496255,55</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496255,55</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496255,55</w:t>
            </w:r>
          </w:p>
        </w:tc>
      </w:tr>
      <w:tr>
        <w:trPr>
          <w:trHeight w:val="675" w:hRule="atLeast"/>
        </w:trPr>
        <w:tc>
          <w:tcPr>
            <w:tcW w:w="568"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 </w:t>
            </w:r>
          </w:p>
        </w:tc>
        <w:tc>
          <w:tcPr>
            <w:tcW w:w="2267"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число проживающих в многоквартирных домах, которым отпущен соответствующий энергетический ресурс</w:t>
            </w:r>
          </w:p>
        </w:tc>
        <w:tc>
          <w:tcPr>
            <w:tcW w:w="1626"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человек</w:t>
            </w:r>
          </w:p>
        </w:tc>
        <w:tc>
          <w:tcPr>
            <w:tcW w:w="991"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200"/>
              <w:ind w:left="0" w:right="0" w:hanging="0"/>
              <w:jc w:val="center"/>
              <w:rPr/>
            </w:pPr>
            <w:r>
              <w:rPr>
                <w:rFonts w:cs="Times New Roman CYR" w:ascii="Times New Roman CYR" w:hAnsi="Times New Roman CYR"/>
                <w:sz w:val="20"/>
                <w:szCs w:val="20"/>
              </w:rPr>
              <w:t>41966</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200"/>
              <w:ind w:left="0" w:right="0" w:hanging="0"/>
              <w:jc w:val="center"/>
              <w:rPr/>
            </w:pPr>
            <w:r>
              <w:rPr>
                <w:rFonts w:cs="Times New Roman CYR" w:ascii="Times New Roman CYR" w:hAnsi="Times New Roman CYR"/>
                <w:sz w:val="20"/>
                <w:szCs w:val="20"/>
              </w:rPr>
              <w:t>41437</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200"/>
              <w:ind w:left="0" w:right="0" w:hanging="0"/>
              <w:jc w:val="center"/>
              <w:rPr/>
            </w:pPr>
            <w:r>
              <w:rPr>
                <w:rFonts w:cs="Times New Roman CYR" w:ascii="Times New Roman CYR" w:hAnsi="Times New Roman CYR"/>
                <w:sz w:val="20"/>
                <w:szCs w:val="20"/>
              </w:rPr>
              <w:t>41437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200"/>
              <w:ind w:left="0" w:right="0" w:hanging="0"/>
              <w:jc w:val="center"/>
              <w:rPr/>
            </w:pPr>
            <w:r>
              <w:rPr>
                <w:rFonts w:cs="Times New Roman CYR" w:ascii="Times New Roman CYR" w:hAnsi="Times New Roman CYR"/>
                <w:sz w:val="20"/>
                <w:szCs w:val="20"/>
              </w:rPr>
              <w:t>41437</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200"/>
              <w:ind w:left="0" w:right="0" w:hanging="0"/>
              <w:jc w:val="center"/>
              <w:rPr/>
            </w:pPr>
            <w:r>
              <w:rPr>
                <w:rFonts w:cs="Times New Roman CYR" w:ascii="Times New Roman CYR" w:hAnsi="Times New Roman CYR"/>
                <w:sz w:val="20"/>
                <w:szCs w:val="20"/>
              </w:rPr>
              <w:t>41437</w:t>
            </w:r>
          </w:p>
        </w:tc>
      </w:tr>
    </w:tbl>
    <w:p>
      <w:pPr>
        <w:pStyle w:val="Normal"/>
        <w:widowControl w:val="false"/>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Текущий показатель по холодной воде (39.4) снизился по сравнению с 2018 годом на 2,57%, что </w:t>
      </w:r>
      <w:r>
        <w:rPr>
          <w:rFonts w:cs="Times New Roman CYR" w:ascii="Times New Roman CYR" w:hAnsi="Times New Roman CYR"/>
          <w:color w:val="000000"/>
          <w:sz w:val="28"/>
          <w:szCs w:val="28"/>
        </w:rPr>
        <w:t xml:space="preserve">обусловлено снижением объема потребления холодной воды по индивидуальным приборам учета, снижением численности проживающих граждан, экономией. </w:t>
      </w:r>
      <w:r>
        <w:rPr>
          <w:rFonts w:cs="Times New Roman CYR" w:ascii="Times New Roman CYR" w:hAnsi="Times New Roman CYR"/>
          <w:sz w:val="28"/>
          <w:szCs w:val="28"/>
        </w:rPr>
        <w:t>В прогнозируемом периоде 2020-2022 годов показатель останется на уровне 2019 года.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bidi w:val="0"/>
        <w:spacing w:before="0" w:after="0"/>
        <w:ind w:left="0" w:right="0" w:firstLine="709"/>
        <w:jc w:val="right"/>
        <w:rPr>
          <w:rFonts w:ascii="Times New Roman CYR" w:hAnsi="Times New Roman CYR" w:cs="Times New Roman CYR"/>
          <w:sz w:val="24"/>
          <w:szCs w:val="24"/>
        </w:rPr>
      </w:pPr>
      <w:r>
        <w:rPr>
          <w:rFonts w:cs="Times New Roman CYR" w:ascii="Times New Roman CYR" w:hAnsi="Times New Roman CYR"/>
          <w:sz w:val="24"/>
          <w:szCs w:val="24"/>
        </w:rPr>
        <w:t>Расшифровка показателя №39.4</w:t>
      </w:r>
    </w:p>
    <w:tbl>
      <w:tblPr>
        <w:tblW w:w="9604" w:type="dxa"/>
        <w:jc w:val="left"/>
        <w:tblInd w:w="113" w:type="dxa"/>
        <w:tblLayout w:type="fixed"/>
        <w:tblCellMar>
          <w:top w:w="0" w:type="dxa"/>
          <w:left w:w="108" w:type="dxa"/>
          <w:bottom w:w="0" w:type="dxa"/>
          <w:right w:w="108" w:type="dxa"/>
        </w:tblCellMar>
      </w:tblPr>
      <w:tblGrid>
        <w:gridCol w:w="566"/>
        <w:gridCol w:w="2410"/>
        <w:gridCol w:w="1135"/>
        <w:gridCol w:w="1275"/>
        <w:gridCol w:w="992"/>
        <w:gridCol w:w="1135"/>
        <w:gridCol w:w="1048"/>
        <w:gridCol w:w="1041"/>
      </w:tblGrid>
      <w:tr>
        <w:trPr>
          <w:trHeight w:val="513"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w:t>
            </w:r>
          </w:p>
        </w:tc>
        <w:tc>
          <w:tcPr>
            <w:tcW w:w="2410"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Наименование показателя</w:t>
            </w:r>
          </w:p>
        </w:tc>
        <w:tc>
          <w:tcPr>
            <w:tcW w:w="1135"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Единицы измерения</w:t>
            </w:r>
          </w:p>
        </w:tc>
        <w:tc>
          <w:tcPr>
            <w:tcW w:w="1275"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2018</w:t>
            </w:r>
          </w:p>
        </w:tc>
        <w:tc>
          <w:tcPr>
            <w:tcW w:w="992"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2019 отчет</w:t>
            </w:r>
          </w:p>
        </w:tc>
        <w:tc>
          <w:tcPr>
            <w:tcW w:w="1135"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sz w:val="20"/>
                <w:szCs w:val="20"/>
              </w:rPr>
              <w:t>2020 оценка</w:t>
            </w:r>
          </w:p>
        </w:tc>
        <w:tc>
          <w:tcPr>
            <w:tcW w:w="1048"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2021 прогноз</w:t>
            </w:r>
          </w:p>
        </w:tc>
        <w:tc>
          <w:tcPr>
            <w:tcW w:w="1041"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b/>
                <w:bCs/>
                <w:sz w:val="20"/>
                <w:szCs w:val="20"/>
              </w:rPr>
              <w:t>2022 прогноз</w:t>
            </w:r>
          </w:p>
        </w:tc>
      </w:tr>
      <w:tr>
        <w:trPr>
          <w:trHeight w:val="450" w:hRule="atLeast"/>
        </w:trPr>
        <w:tc>
          <w:tcPr>
            <w:tcW w:w="566"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39.4</w:t>
            </w:r>
          </w:p>
        </w:tc>
        <w:tc>
          <w:tcPr>
            <w:tcW w:w="2410"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холодная вода</w:t>
            </w:r>
          </w:p>
        </w:tc>
        <w:tc>
          <w:tcPr>
            <w:tcW w:w="1135"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куб. метров на 1 проживающего</w:t>
            </w:r>
          </w:p>
        </w:tc>
        <w:tc>
          <w:tcPr>
            <w:tcW w:w="1275"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33,84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32,97</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32,97</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32,97</w:t>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32,97</w:t>
            </w:r>
          </w:p>
        </w:tc>
      </w:tr>
      <w:tr>
        <w:trPr>
          <w:trHeight w:val="273"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 </w:t>
            </w:r>
          </w:p>
        </w:tc>
        <w:tc>
          <w:tcPr>
            <w:tcW w:w="2410"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объем потребления воды (холодной) в многоквартирных домах</w:t>
            </w:r>
          </w:p>
        </w:tc>
        <w:tc>
          <w:tcPr>
            <w:tcW w:w="1135"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куб.м</w:t>
            </w:r>
          </w:p>
        </w:tc>
        <w:tc>
          <w:tcPr>
            <w:tcW w:w="1275"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1420236,2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1366200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1366200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1366200</w:t>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1366200</w:t>
            </w:r>
          </w:p>
        </w:tc>
      </w:tr>
      <w:tr>
        <w:trPr>
          <w:trHeight w:val="675" w:hRule="atLeast"/>
        </w:trPr>
        <w:tc>
          <w:tcPr>
            <w:tcW w:w="566"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 </w:t>
            </w:r>
          </w:p>
        </w:tc>
        <w:tc>
          <w:tcPr>
            <w:tcW w:w="2410"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rPr/>
            </w:pPr>
            <w:r>
              <w:rPr>
                <w:rFonts w:cs="Times New Roman CYR" w:ascii="Times New Roman CYR" w:hAnsi="Times New Roman CYR"/>
                <w:sz w:val="20"/>
                <w:szCs w:val="20"/>
              </w:rPr>
              <w:t>число проживающих в многоквартирных домах, которым отпущен соответствующий энергетический ресурс</w:t>
            </w:r>
          </w:p>
        </w:tc>
        <w:tc>
          <w:tcPr>
            <w:tcW w:w="1135" w:type="dxa"/>
            <w:tcBorders>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человек</w:t>
            </w:r>
          </w:p>
        </w:tc>
        <w:tc>
          <w:tcPr>
            <w:tcW w:w="1275" w:type="dxa"/>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41966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41437</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41437</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41437</w:t>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0"/>
                <w:szCs w:val="20"/>
              </w:rPr>
              <w:t>41437</w:t>
            </w:r>
          </w:p>
        </w:tc>
      </w:tr>
    </w:tbl>
    <w:p>
      <w:pPr>
        <w:pStyle w:val="Normal"/>
        <w:widowControl w:val="false"/>
        <w:bidi w:val="0"/>
        <w:spacing w:before="0" w:after="0"/>
        <w:ind w:left="0" w:right="0" w:firstLine="72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firstLine="720"/>
        <w:jc w:val="both"/>
        <w:rPr>
          <w:rFonts w:ascii="Times New Roman CYR" w:hAnsi="Times New Roman CYR" w:cs="Times New Roman CYR"/>
          <w:sz w:val="28"/>
          <w:szCs w:val="28"/>
        </w:rPr>
      </w:pPr>
      <w:r>
        <w:rPr>
          <w:rFonts w:cs="Times New Roman CYR" w:ascii="Times New Roman CYR" w:hAnsi="Times New Roman CYR"/>
          <w:sz w:val="28"/>
          <w:szCs w:val="28"/>
        </w:rPr>
        <w:t>Показатели удельной величины потребления природного газа равны "0", так как в муниципальном образовании «город Шарыпово Красноярского края» отсутствует инфраструктура.</w:t>
      </w:r>
    </w:p>
    <w:p>
      <w:pPr>
        <w:pStyle w:val="Normal"/>
        <w:widowControl w:val="false"/>
        <w:bidi w:val="0"/>
        <w:spacing w:before="0" w:after="0"/>
        <w:ind w:left="0" w:right="0" w:hanging="0"/>
        <w:rPr>
          <w:rFonts w:ascii="MS Sans Serif" w:hAnsi="MS Sans Serif" w:cs="MS Sans Serif"/>
          <w:sz w:val="16"/>
          <w:szCs w:val="16"/>
        </w:rPr>
      </w:pPr>
      <w:r>
        <w:rPr>
          <w:rFonts w:cs="MS Sans Serif" w:ascii="MS Sans Serif" w:hAnsi="MS Sans Serif"/>
          <w:sz w:val="16"/>
          <w:szCs w:val="16"/>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При определении удельной величины потребления энергетических ресурсов по муниципальным бюджетным учреждениям, использованы следующие показатели:</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среднегодовая численность постоянного населения муниципального образования «город Шарыпово Красноярского края» - 46070 чел.;</w:t>
      </w:r>
    </w:p>
    <w:p>
      <w:pPr>
        <w:pStyle w:val="Normal"/>
        <w:bidi w:val="0"/>
        <w:spacing w:before="0" w:after="0"/>
        <w:ind w:left="0" w:right="0" w:firstLine="709"/>
        <w:jc w:val="both"/>
        <w:rPr>
          <w:rFonts w:ascii="Times New Roman CYR" w:hAnsi="Times New Roman CYR" w:cs="Times New Roman CYR"/>
          <w:b/>
          <w:bCs/>
          <w:sz w:val="28"/>
          <w:szCs w:val="28"/>
        </w:rPr>
      </w:pPr>
      <w:r>
        <w:rPr>
          <w:rFonts w:cs="Times New Roman CYR" w:ascii="Times New Roman CYR" w:hAnsi="Times New Roman CYR"/>
          <w:sz w:val="28"/>
          <w:szCs w:val="28"/>
        </w:rPr>
        <w:t>- общая площадь муниципальных учреждений – 156657,45 м</w:t>
      </w:r>
      <w:r>
        <w:rPr>
          <w:rFonts w:cs="Times New Roman CYR" w:ascii="Times New Roman CYR" w:hAnsi="Times New Roman CYR"/>
          <w:sz w:val="28"/>
          <w:szCs w:val="28"/>
          <w:vertAlign w:val="superscript"/>
        </w:rPr>
        <w:t>2</w:t>
      </w:r>
      <w:r>
        <w:rPr>
          <w:rFonts w:cs="Times New Roman CYR" w:ascii="Times New Roman CYR" w:hAnsi="Times New Roman CYR"/>
          <w:sz w:val="28"/>
          <w:szCs w:val="28"/>
        </w:rPr>
        <w:t>;</w:t>
      </w:r>
    </w:p>
    <w:p>
      <w:pPr>
        <w:pStyle w:val="Normal"/>
        <w:bidi w:val="0"/>
        <w:spacing w:before="0" w:after="0"/>
        <w:ind w:left="0" w:right="0" w:firstLine="709"/>
        <w:jc w:val="both"/>
        <w:rPr>
          <w:rFonts w:ascii="Times New Roman CYR" w:hAnsi="Times New Roman CYR" w:cs="Times New Roman CYR"/>
          <w:b/>
          <w:bCs/>
          <w:sz w:val="28"/>
          <w:szCs w:val="28"/>
        </w:rPr>
      </w:pPr>
      <w:r>
        <w:rPr>
          <w:rFonts w:cs="Times New Roman CYR" w:ascii="Times New Roman CYR" w:hAnsi="Times New Roman CYR"/>
          <w:sz w:val="28"/>
          <w:szCs w:val="28"/>
        </w:rPr>
        <w:t>- объем потребления электрической энергии бюджетными учреждениями – 4063786,00 кВт/ч.;</w:t>
      </w:r>
    </w:p>
    <w:p>
      <w:pPr>
        <w:pStyle w:val="Normal"/>
        <w:bidi w:val="0"/>
        <w:spacing w:before="0" w:after="0"/>
        <w:ind w:left="0" w:right="0" w:firstLine="709"/>
        <w:jc w:val="both"/>
        <w:rPr>
          <w:rFonts w:ascii="Times New Roman CYR" w:hAnsi="Times New Roman CYR" w:cs="Times New Roman CYR"/>
          <w:b/>
          <w:bCs/>
          <w:sz w:val="28"/>
          <w:szCs w:val="28"/>
        </w:rPr>
      </w:pPr>
      <w:r>
        <w:rPr>
          <w:rFonts w:cs="Times New Roman CYR" w:ascii="Times New Roman CYR" w:hAnsi="Times New Roman CYR"/>
          <w:sz w:val="28"/>
          <w:szCs w:val="28"/>
        </w:rPr>
        <w:t>- объем потребления тепловой энергии бюджетными учреждениями – 23051,83 Гкал.;</w:t>
      </w:r>
    </w:p>
    <w:p>
      <w:pPr>
        <w:pStyle w:val="Normal"/>
        <w:bidi w:val="0"/>
        <w:spacing w:before="0" w:after="0"/>
        <w:ind w:left="0" w:right="0" w:firstLine="709"/>
        <w:jc w:val="both"/>
        <w:rPr>
          <w:rFonts w:ascii="Times New Roman CYR" w:hAnsi="Times New Roman CYR" w:cs="Times New Roman CYR"/>
          <w:b/>
          <w:bCs/>
          <w:sz w:val="28"/>
          <w:szCs w:val="28"/>
        </w:rPr>
      </w:pPr>
      <w:r>
        <w:rPr>
          <w:rFonts w:cs="Times New Roman CYR" w:ascii="Times New Roman CYR" w:hAnsi="Times New Roman CYR"/>
          <w:sz w:val="28"/>
          <w:szCs w:val="28"/>
        </w:rPr>
        <w:t>- объем потребления горячей воды бюджетными учреждениями – 22707,95</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м3;</w:t>
      </w:r>
    </w:p>
    <w:p>
      <w:pPr>
        <w:pStyle w:val="Normal"/>
        <w:bidi w:val="0"/>
        <w:spacing w:before="0" w:after="0"/>
        <w:ind w:left="0" w:right="0" w:firstLine="709"/>
        <w:jc w:val="both"/>
        <w:rPr>
          <w:rFonts w:ascii="Times New Roman CYR" w:hAnsi="Times New Roman CYR" w:cs="Times New Roman CYR"/>
          <w:b/>
          <w:bCs/>
          <w:sz w:val="28"/>
          <w:szCs w:val="28"/>
        </w:rPr>
      </w:pPr>
      <w:r>
        <w:rPr>
          <w:rFonts w:cs="Times New Roman CYR" w:ascii="Times New Roman CYR" w:hAnsi="Times New Roman CYR"/>
          <w:sz w:val="28"/>
          <w:szCs w:val="28"/>
        </w:rPr>
        <w:t>- объем потребления холодной воды бюджетными учреждениями – 40648,57 м3.</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Увеличение удельной величины потребления энергетических ресурсов (горячая, холодная вода) в 2019 году по бюджетными учреждениями м</w:t>
      </w:r>
      <w:r>
        <w:rPr>
          <w:rFonts w:cs="Times New Roman CYR" w:ascii="Times New Roman CYR" w:hAnsi="Times New Roman CYR"/>
          <w:sz w:val="28"/>
          <w:szCs w:val="28"/>
          <w:vertAlign w:val="superscript"/>
        </w:rPr>
        <w:t>3</w:t>
      </w:r>
      <w:r>
        <w:rPr>
          <w:rFonts w:cs="Times New Roman CYR" w:ascii="Times New Roman CYR" w:hAnsi="Times New Roman CYR"/>
          <w:sz w:val="28"/>
          <w:szCs w:val="28"/>
        </w:rPr>
        <w:t xml:space="preserve"> на 1 проживающего в 2019 году произошло из-за роста количества потребителей (ввод дополнительных мест в дошкольных учреждениях). </w:t>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Удельная величина потребления электроэнергии бюджетными учреждениями в 2019 на 0,76 кВт/ч на одного чел. населения меньше по отношению к 2018 году, что обусловлено частичной заменой ламп, используемых для наружного и внутреннего освещения на энергосберегающие</w:t>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Снижение удельной величины потребления тепловой энергии в 2019 году по муниципальным бюджетным учреждениям обусловлено довольно высокой температурой наружного воздуха в отопительный период 2018-2019.</w:t>
      </w:r>
      <w:r>
        <w:rPr>
          <w:rFonts w:cs="Times New Roman CYR" w:ascii="Times New Roman CYR" w:hAnsi="Times New Roman CYR"/>
          <w:sz w:val="28"/>
          <w:szCs w:val="28"/>
        </w:rPr>
        <w:t xml:space="preserve"> </w:t>
      </w:r>
      <w:r>
        <w:rPr>
          <w:rFonts w:cs="Times New Roman CYR" w:ascii="Times New Roman CYR" w:hAnsi="Times New Roman CYR"/>
          <w:color w:val="000000"/>
          <w:sz w:val="28"/>
          <w:szCs w:val="28"/>
        </w:rPr>
        <w:t>Среднесуточная температура отопительного периода (сентябрь – май):</w:t>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 xml:space="preserve">2018 год – (-) 4,2 </w:t>
      </w:r>
      <w:r>
        <w:rPr>
          <w:rFonts w:cs="Times New Roman CYR" w:ascii="Times New Roman CYR" w:hAnsi="Times New Roman CYR"/>
          <w:color w:val="000000"/>
          <w:sz w:val="28"/>
          <w:szCs w:val="28"/>
          <w:vertAlign w:val="superscript"/>
        </w:rPr>
        <w:t>о</w:t>
      </w:r>
      <w:r>
        <w:rPr>
          <w:rFonts w:cs="Times New Roman CYR" w:ascii="Times New Roman CYR" w:hAnsi="Times New Roman CYR"/>
          <w:color w:val="000000"/>
          <w:sz w:val="28"/>
          <w:szCs w:val="28"/>
        </w:rPr>
        <w:t>С</w:t>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 xml:space="preserve">2019 год – (-) 2,5 </w:t>
      </w:r>
      <w:r>
        <w:rPr>
          <w:rFonts w:cs="Times New Roman CYR" w:ascii="Times New Roman CYR" w:hAnsi="Times New Roman CYR"/>
          <w:color w:val="000000"/>
          <w:sz w:val="28"/>
          <w:szCs w:val="28"/>
          <w:vertAlign w:val="superscript"/>
        </w:rPr>
        <w:t>о</w:t>
      </w:r>
      <w:r>
        <w:rPr>
          <w:rFonts w:cs="Times New Roman CYR" w:ascii="Times New Roman CYR" w:hAnsi="Times New Roman CYR"/>
          <w:color w:val="000000"/>
          <w:sz w:val="28"/>
          <w:szCs w:val="28"/>
        </w:rPr>
        <w:t>С</w:t>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r>
    </w:p>
    <w:p>
      <w:pPr>
        <w:pStyle w:val="Normal"/>
        <w:widowControl w:val="false"/>
        <w:bidi w:val="0"/>
        <w:spacing w:before="0" w:after="0"/>
        <w:ind w:left="0" w:right="0" w:hanging="0"/>
        <w:jc w:val="both"/>
        <w:rPr>
          <w:rFonts w:ascii="Times New Roman CYR" w:hAnsi="Times New Roman CYR" w:cs="Times New Roman CYR"/>
          <w:color w:val="000000"/>
          <w:sz w:val="12"/>
          <w:szCs w:val="12"/>
        </w:rPr>
      </w:pPr>
      <w:r>
        <w:rPr>
          <w:rFonts w:cs="Times New Roman CYR" w:ascii="Times New Roman CYR" w:hAnsi="Times New Roman CYR"/>
          <w:b/>
          <w:bCs/>
          <w:color w:val="000000"/>
          <w:sz w:val="28"/>
          <w:szCs w:val="28"/>
        </w:rPr>
        <w:t>41.Результаты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 - телекоммуникационной сети "Интернет") ( при наличии)</w:t>
      </w:r>
    </w:p>
    <w:p>
      <w:pPr>
        <w:pStyle w:val="Normal"/>
        <w:tabs>
          <w:tab w:val="clear" w:pos="720"/>
          <w:tab w:val="left" w:pos="851" w:leader="none"/>
        </w:tabs>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отчетном году была проведена оценка качества условий осуществления образовательной деятельности:</w:t>
      </w:r>
    </w:p>
    <w:p>
      <w:pPr>
        <w:pStyle w:val="Normal"/>
        <w:tabs>
          <w:tab w:val="clear" w:pos="720"/>
          <w:tab w:val="left" w:pos="851" w:leader="none"/>
        </w:tabs>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 муниципальным бюджетным образовательным учреждением дополнительного образования «ЦЕНТР ДЕТСКОГО ТЕХНИЧЕСКОГО ТВОРЧЕСТВА» (МБОУ ДО «ЦДТТ»); </w:t>
      </w:r>
    </w:p>
    <w:p>
      <w:pPr>
        <w:pStyle w:val="Normal"/>
        <w:tabs>
          <w:tab w:val="clear" w:pos="720"/>
          <w:tab w:val="left" w:pos="851" w:leader="none"/>
        </w:tabs>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 муниципальным бюджетным образовательным учреждением дополнительного образования «Центр эстетического воспитания детей (театрального искусства)» (МБОУ ДО ЦЭВД (ТИ)); </w:t>
      </w:r>
    </w:p>
    <w:p>
      <w:pPr>
        <w:pStyle w:val="Normal"/>
        <w:tabs>
          <w:tab w:val="clear" w:pos="720"/>
          <w:tab w:val="left" w:pos="851" w:leader="none"/>
        </w:tabs>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-муниципальным бюджетным образовательным учреждением дополнительного образования «Детско-юношеский центр» г. Шарыпово» (МБОУ ДО ДЮЦ г. Шарыпово).</w:t>
      </w:r>
    </w:p>
    <w:p>
      <w:pPr>
        <w:pStyle w:val="Normal"/>
        <w:tabs>
          <w:tab w:val="clear" w:pos="720"/>
          <w:tab w:val="left" w:pos="851" w:leader="none"/>
        </w:tabs>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r>
    </w:p>
    <w:tbl>
      <w:tblPr>
        <w:tblW w:w="9513" w:type="dxa"/>
        <w:jc w:val="center"/>
        <w:tblInd w:w="0" w:type="dxa"/>
        <w:tblLayout w:type="fixed"/>
        <w:tblCellMar>
          <w:top w:w="0" w:type="dxa"/>
          <w:left w:w="108" w:type="dxa"/>
          <w:bottom w:w="0" w:type="dxa"/>
          <w:right w:w="108" w:type="dxa"/>
        </w:tblCellMar>
      </w:tblPr>
      <w:tblGrid>
        <w:gridCol w:w="512"/>
        <w:gridCol w:w="5766"/>
        <w:gridCol w:w="3235"/>
      </w:tblGrid>
      <w:tr>
        <w:trPr/>
        <w:tc>
          <w:tcPr>
            <w:tcW w:w="5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uto" w:line="276" w:before="0" w:after="200"/>
              <w:ind w:left="0" w:right="0" w:hanging="0"/>
              <w:jc w:val="center"/>
              <w:rPr/>
            </w:pPr>
            <w:r>
              <w:rPr>
                <w:rFonts w:cs="Times New Roman CYR" w:ascii="Times New Roman CYR" w:hAnsi="Times New Roman CYR"/>
              </w:rPr>
              <w:t xml:space="preserve">№ </w:t>
            </w:r>
            <w:r>
              <w:rPr>
                <w:rFonts w:cs="Times New Roman CYR" w:ascii="Times New Roman CYR" w:hAnsi="Times New Roman CYR"/>
              </w:rPr>
              <w:t>п/п</w:t>
            </w:r>
          </w:p>
        </w:tc>
        <w:tc>
          <w:tcPr>
            <w:tcW w:w="57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uto" w:line="276" w:before="0" w:after="200"/>
              <w:ind w:left="0" w:right="0" w:hanging="0"/>
              <w:jc w:val="center"/>
              <w:rPr/>
            </w:pPr>
            <w:r>
              <w:rPr>
                <w:rFonts w:cs="Times New Roman CYR" w:ascii="Times New Roman CYR" w:hAnsi="Times New Roman CYR"/>
              </w:rPr>
              <w:t>Наименование организации, в отношении которой проведена независимая оценка качества за отчетный год</w:t>
            </w:r>
          </w:p>
        </w:tc>
        <w:tc>
          <w:tcPr>
            <w:tcW w:w="32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uto" w:line="276" w:before="0" w:after="200"/>
              <w:ind w:left="0" w:right="0" w:hanging="0"/>
              <w:jc w:val="center"/>
              <w:rPr/>
            </w:pPr>
            <w:r>
              <w:rPr>
                <w:rFonts w:cs="Times New Roman CYR" w:ascii="Times New Roman CYR" w:hAnsi="Times New Roman CYR"/>
              </w:rPr>
              <w:t>Значение показателя оценки качества по организации</w:t>
            </w:r>
          </w:p>
        </w:tc>
      </w:tr>
      <w:tr>
        <w:trPr/>
        <w:tc>
          <w:tcPr>
            <w:tcW w:w="5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jc w:val="center"/>
              <w:rPr/>
            </w:pPr>
            <w:r>
              <w:rPr>
                <w:rFonts w:cs="Times New Roman CYR" w:ascii="Times New Roman CYR" w:hAnsi="Times New Roman CYR"/>
                <w:sz w:val="24"/>
                <w:szCs w:val="24"/>
              </w:rPr>
              <w:t>1</w:t>
            </w:r>
          </w:p>
        </w:tc>
        <w:tc>
          <w:tcPr>
            <w:tcW w:w="576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rPr/>
            </w:pPr>
            <w:r>
              <w:rPr>
                <w:rFonts w:cs="Times New Roman CYR" w:ascii="Times New Roman CYR" w:hAnsi="Times New Roman CYR"/>
                <w:sz w:val="24"/>
                <w:szCs w:val="24"/>
              </w:rPr>
              <w:t>МБОУ ДО «ЦДТТ»</w:t>
            </w:r>
          </w:p>
        </w:tc>
        <w:tc>
          <w:tcPr>
            <w:tcW w:w="32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jc w:val="center"/>
              <w:rPr/>
            </w:pPr>
            <w:r>
              <w:rPr>
                <w:rFonts w:cs="Times New Roman CYR" w:ascii="Times New Roman CYR" w:hAnsi="Times New Roman CYR"/>
                <w:sz w:val="24"/>
                <w:szCs w:val="24"/>
              </w:rPr>
              <w:t>86,08</w:t>
            </w:r>
          </w:p>
        </w:tc>
      </w:tr>
      <w:tr>
        <w:trPr/>
        <w:tc>
          <w:tcPr>
            <w:tcW w:w="5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jc w:val="center"/>
              <w:rPr/>
            </w:pPr>
            <w:r>
              <w:rPr>
                <w:rFonts w:cs="Times New Roman CYR" w:ascii="Times New Roman CYR" w:hAnsi="Times New Roman CYR"/>
                <w:sz w:val="24"/>
                <w:szCs w:val="24"/>
              </w:rPr>
              <w:t>2</w:t>
            </w:r>
          </w:p>
        </w:tc>
        <w:tc>
          <w:tcPr>
            <w:tcW w:w="576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rPr/>
            </w:pPr>
            <w:r>
              <w:rPr>
                <w:rFonts w:cs="Times New Roman CYR" w:ascii="Times New Roman CYR" w:hAnsi="Times New Roman CYR"/>
                <w:sz w:val="24"/>
                <w:szCs w:val="24"/>
              </w:rPr>
              <w:t>МБОУ ДО ЦЭВД (ТИ)</w:t>
            </w:r>
          </w:p>
        </w:tc>
        <w:tc>
          <w:tcPr>
            <w:tcW w:w="32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jc w:val="center"/>
              <w:rPr/>
            </w:pPr>
            <w:r>
              <w:rPr>
                <w:rFonts w:cs="Times New Roman CYR" w:ascii="Times New Roman CYR" w:hAnsi="Times New Roman CYR"/>
                <w:sz w:val="24"/>
                <w:szCs w:val="24"/>
              </w:rPr>
              <w:t>86,42</w:t>
            </w:r>
          </w:p>
        </w:tc>
      </w:tr>
      <w:tr>
        <w:trPr/>
        <w:tc>
          <w:tcPr>
            <w:tcW w:w="5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jc w:val="center"/>
              <w:rPr/>
            </w:pPr>
            <w:r>
              <w:rPr>
                <w:rFonts w:cs="Times New Roman CYR" w:ascii="Times New Roman CYR" w:hAnsi="Times New Roman CYR"/>
                <w:sz w:val="24"/>
                <w:szCs w:val="24"/>
              </w:rPr>
              <w:t>3</w:t>
            </w:r>
          </w:p>
        </w:tc>
        <w:tc>
          <w:tcPr>
            <w:tcW w:w="576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rPr/>
            </w:pPr>
            <w:r>
              <w:rPr>
                <w:rFonts w:cs="Times New Roman CYR" w:ascii="Times New Roman CYR" w:hAnsi="Times New Roman CYR"/>
                <w:sz w:val="24"/>
                <w:szCs w:val="24"/>
              </w:rPr>
              <w:t>МБОУ ДО ДЮЦ г. Шарыпово</w:t>
            </w:r>
          </w:p>
        </w:tc>
        <w:tc>
          <w:tcPr>
            <w:tcW w:w="32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jc w:val="center"/>
              <w:rPr/>
            </w:pPr>
            <w:r>
              <w:rPr>
                <w:rFonts w:cs="Times New Roman CYR" w:ascii="Times New Roman CYR" w:hAnsi="Times New Roman CYR"/>
                <w:sz w:val="24"/>
                <w:szCs w:val="24"/>
              </w:rPr>
              <w:t>86,04</w:t>
            </w:r>
          </w:p>
        </w:tc>
      </w:tr>
    </w:tbl>
    <w:p>
      <w:pPr>
        <w:pStyle w:val="Normal"/>
        <w:widowControl w:val="false"/>
        <w:bidi w:val="0"/>
        <w:spacing w:before="0" w:after="0"/>
        <w:ind w:left="0" w:right="0" w:firstLine="709"/>
        <w:rPr>
          <w:rFonts w:ascii="Times New Roman CYR" w:hAnsi="Times New Roman CYR" w:cs="Times New Roman CYR"/>
          <w:sz w:val="14"/>
          <w:szCs w:val="14"/>
        </w:rPr>
      </w:pPr>
      <w:r>
        <w:rPr>
          <w:rFonts w:cs="Times New Roman CYR" w:ascii="Times New Roman CYR" w:hAnsi="Times New Roman CYR"/>
          <w:sz w:val="14"/>
          <w:szCs w:val="14"/>
        </w:rPr>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ab/>
        <w:t>Итоговый результат независимой оценки качества условий осуществления образовательной деятельности муниципальными бюджетными учреждениями дополнительного образования, проведенной в 2019 году, составил 86,18%.</w:t>
      </w:r>
    </w:p>
    <w:p>
      <w:pPr>
        <w:pStyle w:val="Normal"/>
        <w:bidi w:val="0"/>
        <w:spacing w:before="0" w:after="0"/>
        <w:ind w:left="0" w:right="0" w:firstLine="709"/>
        <w:jc w:val="both"/>
        <w:rPr>
          <w:rFonts w:ascii="Times New Roman CYR" w:hAnsi="Times New Roman CYR" w:cs="Times New Roman CYR"/>
          <w:sz w:val="14"/>
          <w:szCs w:val="14"/>
        </w:rPr>
      </w:pPr>
      <w:r>
        <w:rPr>
          <w:rFonts w:cs="Times New Roman CYR" w:ascii="Times New Roman CYR" w:hAnsi="Times New Roman CYR"/>
          <w:sz w:val="28"/>
          <w:szCs w:val="28"/>
        </w:rPr>
        <w:t>В отношении учреждений культуры г. Шарыпово в 2019 году независимая оценка качества не проводилась, проведение оценки четырех учреждений культуры г. Шарыпово планируется в 2020 году.</w:t>
      </w:r>
    </w:p>
    <w:p>
      <w:pPr>
        <w:pStyle w:val="Normal"/>
        <w:widowControl w:val="false"/>
        <w:bidi w:val="0"/>
        <w:spacing w:before="0" w:after="0"/>
        <w:ind w:left="0" w:right="0" w:hanging="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t xml:space="preserve">Начальник отдела </w:t>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t>экономики и планирования</w:t>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t>Администрации города Шарыпово                                                                    Е.В. Рачеева</w:t>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rFonts w:ascii="Times New Roman CYR" w:hAnsi="Times New Roman CYR" w:cs="Times New Roman CYR"/>
          <w:sz w:val="20"/>
          <w:szCs w:val="20"/>
        </w:rPr>
      </w:pPr>
      <w:r>
        <w:rPr>
          <w:rFonts w:cs="Times New Roman CYR" w:ascii="Times New Roman CYR" w:hAnsi="Times New Roman CYR"/>
          <w:sz w:val="20"/>
          <w:szCs w:val="20"/>
        </w:rPr>
        <w:t>Ильиных Н.А.</w:t>
      </w:r>
    </w:p>
    <w:p>
      <w:pPr>
        <w:pStyle w:val="Normal"/>
        <w:widowControl w:val="false"/>
        <w:bidi w:val="0"/>
        <w:spacing w:before="0" w:after="0"/>
        <w:ind w:left="0" w:right="0" w:hanging="0"/>
        <w:rPr/>
      </w:pPr>
      <w:r>
        <w:rPr>
          <w:rFonts w:cs="Times New Roman CYR" w:ascii="Times New Roman CYR" w:hAnsi="Times New Roman CYR"/>
          <w:sz w:val="20"/>
          <w:szCs w:val="20"/>
        </w:rPr>
        <w:t>8(39153)2-11-92</w:t>
      </w:r>
    </w:p>
    <w:sectPr>
      <w:footerReference w:type="default" r:id="rId2"/>
      <w:type w:val="nextPage"/>
      <w:pgSz w:w="12240" w:h="15840"/>
      <w:pgMar w:left="1701" w:right="851" w:gutter="0" w:header="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CYR">
    <w:charset w:val="cc"/>
    <w:family w:val="roman"/>
    <w:pitch w:val="variable"/>
  </w:font>
  <w:font w:name="MS Sans Serif">
    <w:charset w:val="cc"/>
    <w:family w:val="roman"/>
    <w:pitch w:val="variable"/>
  </w:font>
  <w:font w:name="Arial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bidi w:val="0"/>
      <w:spacing w:lineRule="auto" w:line="276" w:before="0" w:after="200"/>
      <w:ind w:left="0" w:right="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character" w:styleId="Style14">
    <w:name w:val="Текст выноски Знак"/>
    <w:basedOn w:val="DefaultParagraphFont"/>
    <w:qFormat/>
    <w:rPr>
      <w:rFonts w:ascii="Segoe UI" w:hAnsi="Segoe UI" w:eastAsia="Times New Roman" w:cs="Segoe UI"/>
      <w:sz w:val="18"/>
      <w:szCs w:val="18"/>
    </w:rPr>
  </w:style>
  <w:style w:type="character" w:styleId="Style15">
    <w:name w:val="Верхний колонтитул Знак"/>
    <w:basedOn w:val="DefaultParagraphFont"/>
    <w:qFormat/>
    <w:rPr>
      <w:rFonts w:ascii="Times New Roman" w:hAnsi="Times New Roman" w:eastAsia="Times New Roman"/>
      <w:sz w:val="24"/>
      <w:szCs w:val="24"/>
    </w:rPr>
  </w:style>
  <w:style w:type="character" w:styleId="Style16">
    <w:name w:val="Нижний колонтитул Знак"/>
    <w:basedOn w:val="DefaultParagraphFont"/>
    <w:qFormat/>
    <w:rPr>
      <w:rFonts w:ascii="Times New Roman" w:hAnsi="Times New Roman" w:eastAsia="Times New Roman"/>
      <w:sz w:val="24"/>
      <w:szCs w:val="24"/>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NormalTable">
    <w:name w:val="Normal Table"/>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Style22">
    <w:name w:val="Колонтитул"/>
    <w:basedOn w:val="Normal"/>
    <w:qFormat/>
    <w:pPr/>
    <w:rPr/>
  </w:style>
  <w:style w:type="paragraph" w:styleId="Style23">
    <w:name w:val="Header"/>
    <w:basedOn w:val="Normal"/>
    <w:pPr>
      <w:tabs>
        <w:tab w:val="clear" w:pos="720"/>
        <w:tab w:val="center" w:pos="4677" w:leader="none"/>
        <w:tab w:val="right" w:pos="9355" w:leader="none"/>
      </w:tabs>
    </w:pPr>
    <w:rPr/>
  </w:style>
  <w:style w:type="paragraph" w:styleId="Style24">
    <w:name w:val="Footer"/>
    <w:basedOn w:val="Normal"/>
    <w:pPr>
      <w:tabs>
        <w:tab w:val="clear" w:pos="720"/>
        <w:tab w:val="center" w:pos="4677" w:leader="none"/>
        <w:tab w:val="right" w:pos="9355"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LibreOffice/7.5.5.2$Windows_X86_64 LibreOffice_project/ca8fe7424262805f223b9a2334bc7181abbcbf5e</Application>
  <AppVersion>15.0000</AppVersion>
  <Pages>19</Pages>
  <Words>8239</Words>
  <Characters>56464</Characters>
  <CharactersWithSpaces>64429</CharactersWithSpaces>
  <Paragraphs>735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2020-04-27T15:50:00Z</dcterms:created>
  <dc:creator>INA</dc:creator>
  <dc:description/>
  <dc:language>ru-RU</dc:language>
  <cp:lastModifiedBy/>
  <cp:lastPrinted>2020-04-29T15:18:00Z</cp:lastPrinted>
  <dcterms:modified xsi:type="dcterms:W3CDTF">2020-05-12T15:44:00Z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a21022</vt:lpwstr>
  </property>
</Properties>
</file>