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charts/_rels/chart1.xml.rels" ContentType="application/vnd.openxmlformats-package.relationships+xml"/>
  <Override PartName="/word/charts/chart1.xml" ContentType="application/vnd.openxmlformats-officedocument.drawingml.chart+xml"/>
  <Override PartName="/word/embeddings/_____Microsoft_Office_Excel1.xlsx" ContentType="application/vnd.openxmlformats-officedocument.spreadsheetml.sheet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color w:val="365F91" w:themeColor="accent1" w:themeShade="bf"/>
          <w:sz w:val="32"/>
          <w:szCs w:val="32"/>
        </w:rPr>
      </w:pPr>
      <w:r>
        <w:rPr>
          <w:rFonts w:cs="Times New Roman" w:ascii="Times New Roman" w:hAnsi="Times New Roman"/>
          <w:b/>
          <w:color w:val="365F91" w:themeColor="accent1" w:themeShade="bf"/>
          <w:sz w:val="32"/>
          <w:szCs w:val="32"/>
        </w:rPr>
        <w:t>Об изменении потребительских цен в июне 2023 года</w:t>
      </w:r>
    </w:p>
    <w:p>
      <w:pPr>
        <w:pStyle w:val="Normal"/>
        <w:widowControl w:val="false"/>
        <w:shd w:val="clear" w:color="auto" w:fill="FFFFFF"/>
        <w:spacing w:lineRule="exact" w:line="280" w:before="0" w:after="0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 xml:space="preserve">В июне 2023 года в Красноярском крае цены на потребительском рынке увеличились: </w:t>
      </w:r>
    </w:p>
    <w:p>
      <w:pPr>
        <w:pStyle w:val="Normal"/>
        <w:widowControl w:val="false"/>
        <w:shd w:val="clear" w:color="auto" w:fill="FFFFFF"/>
        <w:spacing w:lineRule="exact" w:line="280" w:before="0" w:after="0"/>
        <w:ind w:left="709" w:hanging="0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- за месяц (к маю 2023 года) – на 0,3 процента;</w:t>
      </w:r>
    </w:p>
    <w:p>
      <w:pPr>
        <w:pStyle w:val="Normal"/>
        <w:widowControl w:val="false"/>
        <w:shd w:val="clear" w:color="auto" w:fill="FFFFFF"/>
        <w:spacing w:lineRule="exact" w:line="280" w:before="0" w:after="0"/>
        <w:ind w:left="709" w:hanging="0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- с начала 2023 года (к декабрю 2022 года) – на 2,2 процента;</w:t>
      </w:r>
    </w:p>
    <w:p>
      <w:pPr>
        <w:pStyle w:val="Normal"/>
        <w:widowControl w:val="false"/>
        <w:shd w:val="clear" w:color="auto" w:fill="FFFFFF"/>
        <w:spacing w:lineRule="exact" w:line="280" w:before="0" w:after="0"/>
        <w:ind w:left="709" w:hanging="0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- за год (к июню 2022 года) – на 3,4 процента.</w:t>
      </w:r>
    </w:p>
    <w:p>
      <w:pPr>
        <w:pStyle w:val="Normal"/>
        <w:widowControl w:val="false"/>
        <w:shd w:val="clear" w:color="auto" w:fill="FFFFFF"/>
        <w:spacing w:lineRule="exact" w:line="28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/>
        <w:spacing w:lineRule="exact" w:line="280" w:before="0" w:after="0"/>
        <w:jc w:val="center"/>
        <w:rPr>
          <w:rFonts w:ascii="Arial" w:hAnsi="Arial" w:cs="Arial"/>
          <w:b/>
          <w:b/>
          <w:color w:val="365F91" w:themeColor="accent1" w:themeShade="bf"/>
          <w:sz w:val="24"/>
          <w:szCs w:val="24"/>
        </w:rPr>
      </w:pPr>
      <w:r>
        <w:rPr>
          <w:rFonts w:cs="Arial" w:ascii="Arial" w:hAnsi="Arial"/>
          <w:b/>
          <w:color w:val="365F91" w:themeColor="accent1" w:themeShade="bf"/>
          <w:sz w:val="24"/>
          <w:szCs w:val="24"/>
        </w:rPr>
        <w:t>Индексы потребительских цен на товары и услуги</w:t>
      </w:r>
    </w:p>
    <w:p>
      <w:pPr>
        <w:pStyle w:val="Normal"/>
        <w:widowControl w:val="false"/>
        <w:shd w:val="clear" w:color="auto" w:fill="FFFFFF"/>
        <w:spacing w:lineRule="exact" w:line="280" w:before="0" w:after="0"/>
        <w:jc w:val="center"/>
        <w:rPr>
          <w:rFonts w:ascii="Arial" w:hAnsi="Arial" w:eastAsia="Times New Roman" w:cs="Arial"/>
          <w:b/>
          <w:b/>
          <w:bCs/>
          <w:color w:val="215968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color w:val="215968"/>
          <w:sz w:val="20"/>
          <w:szCs w:val="20"/>
          <w:lang w:eastAsia="ru-RU"/>
        </w:rPr>
      </w:r>
    </w:p>
    <w:tbl>
      <w:tblPr>
        <w:tblStyle w:val="a9"/>
        <w:tblW w:w="485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91"/>
        <w:gridCol w:w="2084"/>
        <w:gridCol w:w="1774"/>
        <w:gridCol w:w="2124"/>
      </w:tblGrid>
      <w:tr>
        <w:trPr>
          <w:trHeight w:val="20" w:hRule="atLeast"/>
        </w:trPr>
        <w:tc>
          <w:tcPr>
            <w:tcW w:w="4191" w:type="dxa"/>
            <w:vMerge w:val="restart"/>
            <w:tcBorders/>
            <w:shd w:color="auto" w:fill="93CDDD" w:val="clear"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rFonts w:ascii="Arial" w:hAnsi="Arial" w:cs="Arial"/>
                <w:b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365F91" w:themeColor="accent1" w:themeShade="bf"/>
                <w:sz w:val="22"/>
                <w:szCs w:val="22"/>
                <w:lang w:eastAsia="ru-RU"/>
              </w:rPr>
            </w:r>
          </w:p>
        </w:tc>
        <w:tc>
          <w:tcPr>
            <w:tcW w:w="5982" w:type="dxa"/>
            <w:gridSpan w:val="3"/>
            <w:tcBorders/>
            <w:shd w:color="auto" w:fill="93CDDD" w:val="clear"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ru-RU"/>
              </w:rPr>
              <w:t>Июнь 2023 года, в % к</w:t>
            </w:r>
          </w:p>
        </w:tc>
      </w:tr>
      <w:tr>
        <w:trPr>
          <w:trHeight w:val="20" w:hRule="atLeast"/>
        </w:trPr>
        <w:tc>
          <w:tcPr>
            <w:tcW w:w="4191" w:type="dxa"/>
            <w:vMerge w:val="continue"/>
            <w:tcBorders/>
            <w:shd w:color="auto" w:fill="93CDDD" w:val="clear"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rFonts w:ascii="Arial" w:hAnsi="Arial" w:cs="Arial"/>
                <w:b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365F91" w:themeColor="accent1" w:themeShade="bf"/>
                <w:sz w:val="22"/>
                <w:szCs w:val="22"/>
                <w:lang w:eastAsia="ru-RU"/>
              </w:rPr>
            </w:r>
          </w:p>
        </w:tc>
        <w:tc>
          <w:tcPr>
            <w:tcW w:w="2084" w:type="dxa"/>
            <w:tcBorders/>
            <w:shd w:color="auto" w:fill="93CDDD" w:val="clear"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ru-RU"/>
              </w:rPr>
              <w:t>маю</w:t>
            </w:r>
          </w:p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774" w:type="dxa"/>
            <w:tcBorders/>
            <w:shd w:color="auto" w:fill="93CDDD" w:val="clear"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ru-RU"/>
              </w:rPr>
              <w:t>декабрю</w:t>
            </w:r>
          </w:p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2124" w:type="dxa"/>
            <w:tcBorders/>
            <w:shd w:color="auto" w:fill="93CDDD" w:val="clear"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ru-RU"/>
              </w:rPr>
              <w:t>июню</w:t>
            </w:r>
          </w:p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ru-RU"/>
              </w:rPr>
              <w:t>2022 года</w:t>
            </w:r>
          </w:p>
        </w:tc>
      </w:tr>
      <w:tr>
        <w:trPr>
          <w:trHeight w:val="20" w:hRule="atLeast"/>
        </w:trPr>
        <w:tc>
          <w:tcPr>
            <w:tcW w:w="4191" w:type="dxa"/>
            <w:tcBorders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eastAsia="Times New Roman" w:cs="Times New Roman" w:ascii="Arial" w:hAnsi="Arial"/>
                <w:b/>
                <w:sz w:val="24"/>
                <w:szCs w:val="20"/>
                <w:lang w:eastAsia="ru-RU"/>
              </w:rPr>
              <w:t>Все товары и услуги</w:t>
            </w:r>
          </w:p>
        </w:tc>
        <w:tc>
          <w:tcPr>
            <w:tcW w:w="208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0"/>
                <w:lang w:eastAsia="ru-RU"/>
              </w:rPr>
              <w:t>100,3</w:t>
            </w:r>
          </w:p>
        </w:tc>
        <w:tc>
          <w:tcPr>
            <w:tcW w:w="177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0"/>
                <w:lang w:eastAsia="ru-RU"/>
              </w:rPr>
              <w:t>102,2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0"/>
                <w:lang w:eastAsia="ru-RU"/>
              </w:rPr>
              <w:t>103,4</w:t>
            </w:r>
          </w:p>
        </w:tc>
      </w:tr>
      <w:tr>
        <w:trPr>
          <w:trHeight w:val="20" w:hRule="atLeast"/>
        </w:trPr>
        <w:tc>
          <w:tcPr>
            <w:tcW w:w="4191" w:type="dxa"/>
            <w:tcBorders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ind w:left="113" w:hanging="0"/>
              <w:rPr>
                <w:rFonts w:ascii="Arial" w:hAnsi="Arial"/>
                <w:sz w:val="24"/>
              </w:rPr>
            </w:pPr>
            <w:r>
              <w:rPr>
                <w:rFonts w:eastAsia="Times New Roman" w:cs="Times New Roman" w:ascii="Arial" w:hAnsi="Arial"/>
                <w:sz w:val="24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208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0"/>
                <w:lang w:eastAsia="ru-RU"/>
              </w:rPr>
              <w:t>100,0</w:t>
            </w:r>
          </w:p>
        </w:tc>
        <w:tc>
          <w:tcPr>
            <w:tcW w:w="177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0"/>
                <w:lang w:eastAsia="ru-RU"/>
              </w:rPr>
              <w:t>102,1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0"/>
                <w:lang w:eastAsia="ru-RU"/>
              </w:rPr>
              <w:t>101,7</w:t>
            </w:r>
          </w:p>
        </w:tc>
      </w:tr>
      <w:tr>
        <w:trPr>
          <w:trHeight w:val="20" w:hRule="atLeast"/>
        </w:trPr>
        <w:tc>
          <w:tcPr>
            <w:tcW w:w="4191" w:type="dxa"/>
            <w:tcBorders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ind w:left="113" w:hanging="0"/>
              <w:rPr>
                <w:rFonts w:ascii="Arial" w:hAnsi="Arial"/>
                <w:sz w:val="24"/>
              </w:rPr>
            </w:pPr>
            <w:r>
              <w:rPr>
                <w:rFonts w:eastAsia="Times New Roman" w:cs="Times New Roman" w:ascii="Arial" w:hAnsi="Arial"/>
                <w:sz w:val="24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208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0"/>
                <w:lang w:eastAsia="ru-RU"/>
              </w:rPr>
              <w:t>100,7</w:t>
            </w:r>
          </w:p>
        </w:tc>
        <w:tc>
          <w:tcPr>
            <w:tcW w:w="177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0"/>
                <w:lang w:eastAsia="ru-RU"/>
              </w:rPr>
              <w:t>101,2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0"/>
                <w:lang w:eastAsia="ru-RU"/>
              </w:rPr>
              <w:t>100,9</w:t>
            </w:r>
          </w:p>
        </w:tc>
      </w:tr>
      <w:tr>
        <w:trPr>
          <w:trHeight w:val="20" w:hRule="atLeast"/>
        </w:trPr>
        <w:tc>
          <w:tcPr>
            <w:tcW w:w="4191" w:type="dxa"/>
            <w:tcBorders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ind w:left="113" w:hanging="0"/>
              <w:rPr>
                <w:rFonts w:ascii="Arial" w:hAnsi="Arial"/>
                <w:sz w:val="24"/>
              </w:rPr>
            </w:pPr>
            <w:r>
              <w:rPr>
                <w:rFonts w:eastAsia="Times New Roman" w:cs="Times New Roman" w:ascii="Arial" w:hAnsi="Arial"/>
                <w:sz w:val="24"/>
                <w:szCs w:val="20"/>
                <w:lang w:eastAsia="ru-RU"/>
              </w:rPr>
              <w:t>Услуги</w:t>
            </w:r>
          </w:p>
        </w:tc>
        <w:tc>
          <w:tcPr>
            <w:tcW w:w="208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0"/>
                <w:lang w:eastAsia="ru-RU"/>
              </w:rPr>
              <w:t>100,1</w:t>
            </w:r>
          </w:p>
        </w:tc>
        <w:tc>
          <w:tcPr>
            <w:tcW w:w="177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0"/>
                <w:lang w:eastAsia="ru-RU"/>
              </w:rPr>
              <w:t>103,6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0"/>
                <w:lang w:eastAsia="ru-RU"/>
              </w:rPr>
              <w:t>109,3</w:t>
            </w:r>
          </w:p>
        </w:tc>
      </w:tr>
    </w:tbl>
    <w:p>
      <w:pPr>
        <w:pStyle w:val="Normal"/>
        <w:widowControl w:val="false"/>
        <w:spacing w:lineRule="exact" w:line="280" w:before="0" w:after="0"/>
        <w:ind w:firstLine="709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</w:r>
    </w:p>
    <w:p>
      <w:pPr>
        <w:pStyle w:val="Style22"/>
        <w:widowControl w:val="false"/>
        <w:spacing w:lineRule="exact" w:line="26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Сводный индекс потребительских цен в Красноярском крае в июне 2023 года </w:t>
        <w:br/>
        <w:t xml:space="preserve">по отношению к предыдущему месяцу сложился на уровне 100,3 процента (в июне </w:t>
        <w:br/>
        <w:t>2022 года – 99,2 процента).</w:t>
      </w:r>
    </w:p>
    <w:p>
      <w:pPr>
        <w:pStyle w:val="Normal"/>
        <w:widowControl w:val="false"/>
        <w:spacing w:lineRule="exact" w:line="260" w:before="0" w:after="0"/>
        <w:ind w:firstLine="709"/>
        <w:jc w:val="both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eastAsia="Times New Roman" w:cs="Arial" w:ascii="Arial" w:hAnsi="Arial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exact" w:line="280" w:before="0" w:after="0"/>
        <w:jc w:val="center"/>
        <w:rPr>
          <w:rFonts w:ascii="Arial" w:hAnsi="Arial" w:cs="Arial"/>
          <w:b/>
          <w:b/>
          <w:color w:val="365F91" w:themeColor="accent1" w:themeShade="bf"/>
          <w:sz w:val="24"/>
          <w:szCs w:val="24"/>
        </w:rPr>
      </w:pPr>
      <w:r>
        <w:rPr>
          <w:rFonts w:cs="Arial" w:ascii="Arial" w:hAnsi="Arial"/>
          <w:b/>
          <w:color w:val="365F91" w:themeColor="accent1" w:themeShade="bf"/>
          <w:sz w:val="24"/>
          <w:szCs w:val="24"/>
        </w:rPr>
        <w:t>Индексы потребительских цен на все товары и услуги по Красноярскому краю</w:t>
      </w:r>
    </w:p>
    <w:p>
      <w:pPr>
        <w:pStyle w:val="Normal"/>
        <w:widowControl w:val="false"/>
        <w:shd w:val="clear" w:color="auto" w:fill="FFFFFF"/>
        <w:spacing w:lineRule="exact" w:line="280" w:before="0" w:after="0"/>
        <w:jc w:val="center"/>
        <w:rPr>
          <w:rFonts w:ascii="Arial" w:hAnsi="Arial" w:cs="Arial"/>
          <w:color w:val="365F91" w:themeColor="accent1" w:themeShade="bf"/>
          <w:sz w:val="24"/>
          <w:szCs w:val="24"/>
        </w:rPr>
      </w:pPr>
      <w:r>
        <w:rPr>
          <w:rFonts w:cs="Arial" w:ascii="Arial" w:hAnsi="Arial"/>
          <w:color w:val="365F91" w:themeColor="accent1" w:themeShade="bf"/>
          <w:sz w:val="24"/>
          <w:szCs w:val="24"/>
        </w:rPr>
        <w:t>(в процентах к предыдущему месяцу)</w:t>
      </w:r>
    </w:p>
    <w:p>
      <w:pPr>
        <w:pStyle w:val="Style18"/>
        <w:widowControl w:val="false"/>
        <w:spacing w:lineRule="auto" w:line="240"/>
        <w:rPr>
          <w:rFonts w:eastAsia="Calibri" w:eastAsiaTheme="minorHAnsi"/>
          <w:b/>
          <w:b/>
          <w:color w:val="365F91" w:themeColor="accent1" w:themeShade="bf"/>
          <w:szCs w:val="28"/>
          <w:lang w:eastAsia="en-US"/>
        </w:rPr>
      </w:pPr>
      <w:r>
        <w:rPr/>
        <w:drawing>
          <wp:inline distT="0" distB="0" distL="0" distR="0">
            <wp:extent cx="6051550" cy="2455545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Style18"/>
        <w:widowControl w:val="false"/>
        <w:spacing w:lineRule="auto" w:line="240"/>
        <w:rPr>
          <w:rFonts w:eastAsia="Calibri" w:eastAsiaTheme="minorHAnsi"/>
          <w:b/>
          <w:b/>
          <w:color w:val="365F91" w:themeColor="accent1" w:themeShade="bf"/>
          <w:szCs w:val="28"/>
          <w:lang w:eastAsia="en-US"/>
        </w:rPr>
      </w:pPr>
      <w:r>
        <w:rPr>
          <w:rFonts w:eastAsia="Calibri" w:eastAsiaTheme="minorHAnsi"/>
          <w:b/>
          <w:color w:val="365F91" w:themeColor="accent1" w:themeShade="bf"/>
          <w:szCs w:val="28"/>
          <w:lang w:eastAsia="en-US"/>
        </w:rPr>
      </w:r>
    </w:p>
    <w:p>
      <w:pPr>
        <w:pStyle w:val="Normal"/>
        <w:widowControl w:val="false"/>
        <w:shd w:val="clear" w:color="auto" w:fill="FFFFFF"/>
        <w:spacing w:lineRule="exact" w:line="260" w:before="0" w:after="0"/>
        <w:ind w:firstLine="708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cs="Arial" w:ascii="Arial" w:hAnsi="Arial"/>
          <w:b/>
          <w:color w:val="365F91" w:themeColor="accent1" w:themeShade="bf"/>
          <w:sz w:val="24"/>
          <w:szCs w:val="24"/>
        </w:rPr>
        <w:t>В июне 2023 года (по отношению к маю 2023 года) среди</w:t>
      </w:r>
      <w:r>
        <w:rPr>
          <w:rFonts w:eastAsia="Times New Roman" w:cs="Arial" w:ascii="Arial" w:hAnsi="Arial"/>
          <w:b/>
          <w:bCs/>
          <w:color w:val="215968"/>
          <w:sz w:val="24"/>
          <w:szCs w:val="24"/>
          <w:lang w:eastAsia="ru-RU"/>
        </w:rPr>
        <w:t xml:space="preserve"> </w:t>
      </w:r>
      <w:r>
        <w:rPr>
          <w:rFonts w:cs="Arial" w:ascii="Arial" w:hAnsi="Arial"/>
          <w:b/>
          <w:color w:val="365F91" w:themeColor="accent1" w:themeShade="bf"/>
          <w:sz w:val="24"/>
          <w:szCs w:val="24"/>
        </w:rPr>
        <w:t>продовольственных товаров</w:t>
      </w: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 xml:space="preserve"> наибольший рост цен наблюдался на картофель – на 28,8 процентов, лимоны – </w:t>
        <w:br/>
        <w:t>на 16,2, морковь – на 14,4, яблоки – на 9,9, куры охлажденные и мороженые – на 6,8,</w:t>
        <w:br/>
        <w:t xml:space="preserve">чеснок – на 4,2, соль поваренную пищевую – на 3,8 процента. </w:t>
      </w:r>
    </w:p>
    <w:p>
      <w:pPr>
        <w:pStyle w:val="Normal"/>
        <w:widowControl w:val="false"/>
        <w:shd w:val="clear" w:color="auto" w:fill="FFFFFF"/>
        <w:spacing w:lineRule="exact" w:line="260" w:before="0" w:after="0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Значительное снижение цен наблюдалось на помидоры свежие – на 28,8 процента, капусту белокочанную свежую – на 17,8, бананы – на 10,9, огурцы свежие – на 6,8, крупу гречневую-ядрицу – на 6,3, масло оливковое – на 5,3, лук репчатый – на 5,2 процента.</w:t>
      </w:r>
    </w:p>
    <w:p>
      <w:pPr>
        <w:pStyle w:val="Normal"/>
        <w:widowControl w:val="false"/>
        <w:shd w:val="clear" w:color="auto" w:fill="FFFFFF"/>
        <w:spacing w:lineRule="exact" w:line="260" w:before="0" w:after="0"/>
        <w:ind w:firstLine="708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cs="Arial" w:ascii="Arial" w:hAnsi="Arial"/>
          <w:b/>
          <w:color w:val="365F91" w:themeColor="accent1" w:themeShade="bf"/>
          <w:sz w:val="24"/>
          <w:szCs w:val="24"/>
        </w:rPr>
        <w:t>В группе непродовольственных товаров</w:t>
      </w:r>
      <w:r>
        <w:rPr>
          <w:rFonts w:eastAsia="Times New Roman" w:cs="Arial" w:ascii="Arial" w:hAnsi="Arial"/>
          <w:b/>
          <w:bCs/>
          <w:color w:val="215968"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за рассматриваемый период более всего подорожали: куртка для детей школьного возраста с верхом из плащевых тканей утепленная – на 7,3 процента, кроссовые туфли для детей – на 5,8, щетка зубная – на 5,5, поливитамины – на 5,4, плита бытовая – на 5,3, фотоаппарат – на 4,9 процента.</w:t>
      </w:r>
    </w:p>
    <w:p>
      <w:pPr>
        <w:pStyle w:val="Normal"/>
        <w:shd w:val="clear" w:color="auto" w:fill="FFFFFF"/>
        <w:spacing w:lineRule="exact" w:line="260" w:before="0" w:after="0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Наибольшее снижение цен отмечалось на: краску для волос – на 4,8 процента, юбку для девочек школьного возраста из полушерстяных тканей – на 3,8, шкаф-вешалку</w:t>
        <w:br/>
        <w:t>для прихожей – на 3,7, батарейки электрические типа АА – на 3,4, перекись водорода 3% – на 3 процента, мыло туалетное жидкое – на 2,9, шкаф для платья и белья – на 2,8, процента.</w:t>
      </w:r>
    </w:p>
    <w:p>
      <w:pPr>
        <w:pStyle w:val="Normal"/>
        <w:widowControl w:val="false"/>
        <w:shd w:val="clear" w:color="auto" w:fill="FFFFFF"/>
        <w:spacing w:lineRule="exact" w:line="260" w:before="0" w:after="0"/>
        <w:ind w:firstLine="708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cs="Arial" w:ascii="Arial" w:hAnsi="Arial"/>
          <w:b/>
          <w:color w:val="365F91" w:themeColor="accent1" w:themeShade="bf"/>
          <w:sz w:val="24"/>
          <w:szCs w:val="24"/>
        </w:rPr>
        <w:t>Из платных услуг</w:t>
      </w:r>
      <w:r>
        <w:rPr>
          <w:rFonts w:eastAsia="Times New Roman" w:cs="Arial" w:ascii="Arial" w:hAnsi="Arial"/>
          <w:b/>
          <w:bCs/>
          <w:color w:val="215968"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более всего подорожали: пребывание в доме отдыха,</w:t>
        <w:br/>
        <w:t>пансионате – на 13,9 процента, поездки на отдых на Черноморское побережье России</w:t>
        <w:br/>
        <w:t xml:space="preserve">и в Крым – на 10,8, на отдых в Турцию – на 9, проживание в хостеле – на 6,2, пребывание </w:t>
        <w:br/>
        <w:t>в санатории – на 5,8, рытье могилы – на 4,4, проезд в такси – на 4,2, поездка</w:t>
        <w:br/>
        <w:t>на отдых в ОАЭ – на 4,1 процента.</w:t>
      </w:r>
    </w:p>
    <w:p>
      <w:pPr>
        <w:pStyle w:val="Normal"/>
        <w:widowControl w:val="false"/>
        <w:shd w:val="clear" w:color="auto" w:fill="FFFFFF"/>
        <w:spacing w:lineRule="exact" w:line="260" w:before="0" w:after="0"/>
        <w:ind w:firstLine="708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Наибольшее снижение стоимости отмечено на проезд в купейном вагоне скорого нефирменного поезда дальнего следования – на 9,9 процента, поездку на отдых в Египет – на 9,6, полет в салоне экономического класса самолета – на 7,9, поездки в отдельные страны Средней Азии – на 3,1 процента.</w:t>
      </w:r>
    </w:p>
    <w:p>
      <w:pPr>
        <w:pStyle w:val="Normal"/>
        <w:widowControl w:val="false"/>
        <w:spacing w:lineRule="exact" w:line="260" w:before="0" w:after="0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cs="Arial" w:ascii="Arial" w:hAnsi="Arial"/>
          <w:b/>
          <w:color w:val="365F91" w:themeColor="accent1" w:themeShade="bf"/>
          <w:sz w:val="24"/>
          <w:szCs w:val="24"/>
        </w:rPr>
        <w:t>За год (июнь 2023 года к июню 2022 года)</w:t>
      </w:r>
      <w:r>
        <w:rPr>
          <w:rFonts w:eastAsia="Times New Roman" w:cs="Arial" w:ascii="Arial" w:hAnsi="Arial"/>
          <w:b/>
          <w:bCs/>
          <w:color w:val="215968"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 xml:space="preserve">индекс потребительских цен составил 103,4 процента. Среди наблюдаемых 556 товаров и услуг изменение цен </w:t>
        <w:br/>
        <w:t>в июне 2023 года по отношению к июню 2022 года сложилось следующим образом:</w:t>
      </w:r>
    </w:p>
    <w:p>
      <w:pPr>
        <w:pStyle w:val="ListParagraph"/>
        <w:widowControl w:val="false"/>
        <w:numPr>
          <w:ilvl w:val="0"/>
          <w:numId w:val="1"/>
        </w:numPr>
        <w:spacing w:lineRule="exact" w:line="260" w:before="0" w:after="0"/>
        <w:ind w:left="624" w:hanging="284"/>
        <w:contextualSpacing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снизились цены по 167 позициям наблюдаемых товаров и услуг;</w:t>
      </w:r>
    </w:p>
    <w:p>
      <w:pPr>
        <w:pStyle w:val="ListParagraph"/>
        <w:widowControl w:val="false"/>
        <w:numPr>
          <w:ilvl w:val="0"/>
          <w:numId w:val="1"/>
        </w:numPr>
        <w:spacing w:lineRule="exact" w:line="260" w:before="0" w:after="0"/>
        <w:ind w:left="624" w:hanging="284"/>
        <w:contextualSpacing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рост цен не превышал уровень инфляции по 114 позициям;</w:t>
      </w:r>
    </w:p>
    <w:p>
      <w:pPr>
        <w:pStyle w:val="ListParagraph"/>
        <w:widowControl w:val="false"/>
        <w:numPr>
          <w:ilvl w:val="0"/>
          <w:numId w:val="1"/>
        </w:numPr>
        <w:spacing w:lineRule="exact" w:line="260" w:before="0" w:after="0"/>
        <w:ind w:left="624" w:hanging="284"/>
        <w:contextualSpacing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рост цен превышал уровень инфляции по 275 позициям.</w:t>
      </w:r>
    </w:p>
    <w:p>
      <w:pPr>
        <w:pStyle w:val="ListParagraph"/>
        <w:widowControl w:val="false"/>
        <w:spacing w:lineRule="exact" w:line="240" w:before="0" w:after="0"/>
        <w:ind w:left="624" w:hanging="0"/>
        <w:contextualSpacing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Arial" w:hAnsi="Arial" w:cs="Arial"/>
          <w:color w:val="C00000"/>
          <w:sz w:val="24"/>
          <w:szCs w:val="24"/>
        </w:rPr>
      </w:pPr>
      <w:r>
        <w:rPr>
          <w:rFonts w:cs="Arial" w:ascii="Arial" w:hAnsi="Arial"/>
          <w:b/>
          <w:color w:val="365F91" w:themeColor="accent1" w:themeShade="bf"/>
          <w:sz w:val="24"/>
          <w:szCs w:val="24"/>
        </w:rPr>
        <w:t>Группировка потребительских товаров и услуг по темпам роста (снижения) цен</w:t>
      </w:r>
      <w:r>
        <w:rPr>
          <w:rFonts w:cs="Times New Roman" w:ascii="Times New Roman" w:hAnsi="Times New Roman"/>
          <w:b/>
          <w:color w:val="365F91" w:themeColor="accent1" w:themeShade="bf"/>
          <w:sz w:val="24"/>
          <w:szCs w:val="24"/>
        </w:rPr>
        <w:t xml:space="preserve"> </w:t>
        <w:br/>
      </w:r>
    </w:p>
    <w:tbl>
      <w:tblPr>
        <w:tblStyle w:val="a9"/>
        <w:tblW w:w="485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91"/>
        <w:gridCol w:w="3391"/>
        <w:gridCol w:w="3392"/>
      </w:tblGrid>
      <w:tr>
        <w:trPr>
          <w:trHeight w:val="21" w:hRule="atLeast"/>
        </w:trPr>
        <w:tc>
          <w:tcPr>
            <w:tcW w:w="3391" w:type="dxa"/>
            <w:tcBorders/>
            <w:shd w:color="auto" w:fill="93CDDD" w:val="clear"/>
            <w:vAlign w:val="center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 xml:space="preserve">Темп роста </w:t>
              <w:br/>
              <w:t>(снижения) цен, %</w:t>
            </w:r>
          </w:p>
        </w:tc>
        <w:tc>
          <w:tcPr>
            <w:tcW w:w="3391" w:type="dxa"/>
            <w:tcBorders/>
            <w:shd w:color="auto" w:fill="93CDDD" w:val="clear"/>
            <w:vAlign w:val="center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 xml:space="preserve">Количество </w:t>
              <w:br/>
              <w:t xml:space="preserve">товаров и услуг, </w:t>
              <w:br/>
              <w:t>единиц</w:t>
            </w:r>
          </w:p>
        </w:tc>
        <w:tc>
          <w:tcPr>
            <w:tcW w:w="3392" w:type="dxa"/>
            <w:tcBorders/>
            <w:shd w:color="auto" w:fill="93CDDD" w:val="clear"/>
            <w:vAlign w:val="center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 xml:space="preserve">Доля в общем числе наблюдаемых товаров </w:t>
              <w:br/>
              <w:t>и услуг, %</w:t>
            </w:r>
          </w:p>
        </w:tc>
      </w:tr>
      <w:tr>
        <w:trPr>
          <w:trHeight w:val="85" w:hRule="atLeast"/>
        </w:trPr>
        <w:tc>
          <w:tcPr>
            <w:tcW w:w="3391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до 100,0</w:t>
            </w:r>
          </w:p>
        </w:tc>
        <w:tc>
          <w:tcPr>
            <w:tcW w:w="3391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392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30,0</w:t>
            </w:r>
          </w:p>
        </w:tc>
      </w:tr>
      <w:tr>
        <w:trPr>
          <w:trHeight w:val="21" w:hRule="atLeast"/>
        </w:trPr>
        <w:tc>
          <w:tcPr>
            <w:tcW w:w="3391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100,0-103,4</w:t>
            </w:r>
          </w:p>
        </w:tc>
        <w:tc>
          <w:tcPr>
            <w:tcW w:w="3391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92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20,5</w:t>
            </w:r>
          </w:p>
        </w:tc>
      </w:tr>
      <w:tr>
        <w:trPr>
          <w:trHeight w:val="21" w:hRule="atLeast"/>
        </w:trPr>
        <w:tc>
          <w:tcPr>
            <w:tcW w:w="3391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103,5-110,0</w:t>
            </w:r>
          </w:p>
        </w:tc>
        <w:tc>
          <w:tcPr>
            <w:tcW w:w="3391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392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34,7</w:t>
            </w:r>
          </w:p>
        </w:tc>
      </w:tr>
      <w:tr>
        <w:trPr>
          <w:trHeight w:val="21" w:hRule="atLeast"/>
        </w:trPr>
        <w:tc>
          <w:tcPr>
            <w:tcW w:w="3391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110,1 и выше</w:t>
            </w:r>
          </w:p>
        </w:tc>
        <w:tc>
          <w:tcPr>
            <w:tcW w:w="3391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92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14,8</w:t>
            </w:r>
          </w:p>
        </w:tc>
      </w:tr>
      <w:tr>
        <w:trPr>
          <w:trHeight w:val="21" w:hRule="atLeast"/>
        </w:trPr>
        <w:tc>
          <w:tcPr>
            <w:tcW w:w="3391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из них свыше 130,0</w:t>
            </w:r>
          </w:p>
        </w:tc>
        <w:tc>
          <w:tcPr>
            <w:tcW w:w="3391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2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1,3</w:t>
            </w:r>
          </w:p>
        </w:tc>
      </w:tr>
      <w:tr>
        <w:trPr>
          <w:trHeight w:val="21" w:hRule="atLeast"/>
        </w:trPr>
        <w:tc>
          <w:tcPr>
            <w:tcW w:w="3391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91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3392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>
      <w:pPr>
        <w:pStyle w:val="Normal"/>
        <w:widowControl w:val="false"/>
        <w:spacing w:lineRule="exact" w:line="260" w:before="0" w:after="0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exact" w:line="260" w:before="0" w:after="0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 xml:space="preserve">Значительный рост цен и тарифов (более 30 процентов) наблюдался </w:t>
        <w:br/>
        <w:t xml:space="preserve">по 7 позициям наименований товаров и услуг: поездки на отдых в Турцию – </w:t>
        <w:br/>
        <w:t>на 84,7 процента, на Черноморское побережье России и в Крым – на 72,8, огурцы свежие – на 50,2, прививка животного – на 48,5, поездки в отдельные страны Средней Азии – 35,6, «Дротаверин (Но-шпа)» – 35,2, аскорбиновая кислота – на 33,3 процента.</w:t>
      </w:r>
    </w:p>
    <w:p>
      <w:pPr>
        <w:pStyle w:val="Normal"/>
        <w:widowControl w:val="false"/>
        <w:spacing w:lineRule="exact" w:line="260" w:before="0" w:after="0"/>
        <w:ind w:firstLine="709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 xml:space="preserve"> </w:t>
      </w:r>
    </w:p>
    <w:sectPr>
      <w:type w:val="nextPage"/>
      <w:pgSz w:w="11906" w:h="16838"/>
      <w:pgMar w:left="851" w:right="566" w:header="0" w:top="567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33c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3"/>
    <w:qFormat/>
    <w:rsid w:val="00fd5b4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Знак"/>
    <w:basedOn w:val="DefaultParagraphFont"/>
    <w:link w:val="a5"/>
    <w:qFormat/>
    <w:rsid w:val="00fd5b4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fd5b42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link w:val="a6"/>
    <w:rsid w:val="00fd5b42"/>
    <w:pPr>
      <w:spacing w:lineRule="auto" w:line="264" w:before="0" w:after="0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Body Text Indent"/>
    <w:basedOn w:val="Normal"/>
    <w:link w:val="a4"/>
    <w:rsid w:val="00fd5b42"/>
    <w:pPr>
      <w:spacing w:lineRule="auto" w:line="24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fd5b4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210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ba409b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1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18875"/>
          <c:y val="0.00255555555555556"/>
          <c:w val="0.961375"/>
          <c:h val="0.799888888888889"/>
        </c:manualLayout>
      </c:layout>
      <c:lineChart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c000"/>
            </a:solidFill>
            <a:ln w="47520">
              <a:solidFill>
                <a:srgbClr val="ffc000"/>
              </a:solidFill>
              <a:round/>
            </a:ln>
          </c:spPr>
          <c:marker>
            <c:symbol val="square"/>
            <c:size val="5"/>
            <c:spPr>
              <a:solidFill>
                <a:srgbClr val="ffc000"/>
              </a:solidFill>
            </c:spPr>
          </c:marker>
          <c:dPt>
            <c:idx val="0"/>
            <c:marker>
              <c:symbol val="square"/>
              <c:size val="5"/>
              <c:spPr>
                <a:solidFill>
                  <a:srgbClr val="ffc000"/>
                </a:solidFill>
              </c:spPr>
            </c:marker>
          </c:dPt>
          <c:dPt>
            <c:idx val="1"/>
            <c:marker>
              <c:symbol val="square"/>
              <c:size val="5"/>
              <c:spPr>
                <a:solidFill>
                  <a:srgbClr val="ffc000"/>
                </a:solidFill>
              </c:spPr>
            </c:marker>
          </c:dPt>
          <c:dPt>
            <c:idx val="3"/>
            <c:marker>
              <c:symbol val="square"/>
              <c:size val="5"/>
              <c:spPr>
                <a:solidFill>
                  <a:srgbClr val="ffc000"/>
                </a:solidFill>
              </c:spPr>
            </c:marker>
          </c:dPt>
          <c:dPt>
            <c:idx val="4"/>
            <c:marker>
              <c:symbol val="square"/>
              <c:size val="5"/>
              <c:spPr>
                <a:solidFill>
                  <a:srgbClr val="ffc000"/>
                </a:solidFill>
              </c:spPr>
            </c:marker>
          </c:dPt>
          <c:dPt>
            <c:idx val="5"/>
            <c:marker>
              <c:symbol val="square"/>
              <c:size val="5"/>
              <c:spPr>
                <a:solidFill>
                  <a:srgbClr val="ffc000"/>
                </a:solidFill>
              </c:spPr>
            </c:marker>
          </c:dPt>
          <c:dLbls>
            <c:numFmt formatCode="#,##0.0" sourceLinked="0"/>
            <c:dLbl>
              <c:idx val="0"/>
              <c:numFmt formatCode="#,##0.0" sourceLinked="0"/>
              <c:txPr>
                <a:bodyPr/>
                <a:lstStyle/>
                <a:p>
                  <a:pPr>
                    <a:defRPr b="0" sz="8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#,##0.0" sourceLinked="0"/>
              <c:txPr>
                <a:bodyPr/>
                <a:lstStyle/>
                <a:p>
                  <a:pPr>
                    <a:defRPr b="0" sz="8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numFmt formatCode="#,##0.0" sourceLinked="0"/>
              <c:txPr>
                <a:bodyPr/>
                <a:lstStyle/>
                <a:p>
                  <a:pPr>
                    <a:defRPr b="0" sz="8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numFmt formatCode="#,##0.0" sourceLinked="0"/>
              <c:txPr>
                <a:bodyPr/>
                <a:lstStyle/>
                <a:p>
                  <a:pPr>
                    <a:defRPr b="0" sz="8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numFmt formatCode="#,##0.0" sourceLinked="0"/>
              <c:txPr>
                <a:bodyPr/>
                <a:lstStyle/>
                <a:p>
                  <a:pPr>
                    <a:defRPr b="0" sz="8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0" sz="9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2"/>
                <c:pt idx="0">
                  <c:v>101.06</c:v>
                </c:pt>
                <c:pt idx="1">
                  <c:v>101.09</c:v>
                </c:pt>
                <c:pt idx="2">
                  <c:v>108.46</c:v>
                </c:pt>
                <c:pt idx="3">
                  <c:v>101.45</c:v>
                </c:pt>
                <c:pt idx="4">
                  <c:v>99.32</c:v>
                </c:pt>
                <c:pt idx="5">
                  <c:v>99.24</c:v>
                </c:pt>
                <c:pt idx="6">
                  <c:v>100.13</c:v>
                </c:pt>
                <c:pt idx="7">
                  <c:v>99.19</c:v>
                </c:pt>
                <c:pt idx="8">
                  <c:v>99.9</c:v>
                </c:pt>
                <c:pt idx="9">
                  <c:v>100.28</c:v>
                </c:pt>
                <c:pt idx="10">
                  <c:v>100.56</c:v>
                </c:pt>
                <c:pt idx="11">
                  <c:v>101.11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0000"/>
            </a:solidFill>
            <a:ln w="47520">
              <a:solidFill>
                <a:srgbClr val="c00000"/>
              </a:solidFill>
              <a:round/>
            </a:ln>
          </c:spPr>
          <c:marker>
            <c:symbol val="square"/>
            <c:size val="7"/>
            <c:spPr>
              <a:solidFill>
                <a:srgbClr val="c00000"/>
              </a:solidFill>
            </c:spPr>
          </c:marker>
          <c:dPt>
            <c:idx val="4"/>
            <c:marker>
              <c:symbol val="square"/>
              <c:size val="7"/>
              <c:spPr>
                <a:solidFill>
                  <a:srgbClr val="c00000"/>
                </a:solidFill>
              </c:spPr>
            </c:marker>
          </c:dPt>
          <c:dPt>
            <c:idx val="5"/>
            <c:marker>
              <c:symbol val="square"/>
              <c:size val="7"/>
              <c:spPr>
                <a:solidFill>
                  <a:srgbClr val="c00000"/>
                </a:solidFill>
              </c:spPr>
            </c:marker>
          </c:dPt>
          <c:dLbls>
            <c:numFmt formatCode="#,##0.0" sourceLinked="0"/>
            <c:dLbl>
              <c:idx val="4"/>
              <c:numFmt formatCode="#,##0.0" sourceLinked="0"/>
              <c:txPr>
                <a:bodyPr/>
                <a:lstStyle/>
                <a:p>
                  <a:pPr>
                    <a:defRPr b="0" sz="8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numFmt formatCode="#,##0.0" sourceLinked="0"/>
              <c:txPr>
                <a:bodyPr/>
                <a:lstStyle/>
                <a:p>
                  <a:pPr>
                    <a:defRPr b="0" sz="8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9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2"/>
                <c:pt idx="0">
                  <c:v>100.36</c:v>
                </c:pt>
                <c:pt idx="1">
                  <c:v>100.56</c:v>
                </c:pt>
                <c:pt idx="2">
                  <c:v>100.36</c:v>
                </c:pt>
                <c:pt idx="3">
                  <c:v>100.24</c:v>
                </c:pt>
                <c:pt idx="4">
                  <c:v>100.39</c:v>
                </c:pt>
                <c:pt idx="5">
                  <c:v>100.27</c:v>
                </c:pt>
              </c:numCache>
            </c:numRef>
          </c:val>
          <c:smooth val="0"/>
        </c:ser>
        <c:hiLowLines>
          <c:spPr>
            <a:ln>
              <a:noFill/>
            </a:ln>
          </c:spPr>
        </c:hiLowLines>
        <c:marker val="1"/>
        <c:axId val="82484926"/>
        <c:axId val="48214244"/>
      </c:lineChart>
      <c:catAx>
        <c:axId val="82484926"/>
        <c:scaling>
          <c:orientation val="minMax"/>
        </c:scaling>
        <c:delete val="0"/>
        <c:axPos val="b"/>
        <c:numFmt formatCode="[$-419]dd/mm/yyyy" sourceLinked="1"/>
        <c:majorTickMark val="cross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8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48214244"/>
        <c:crosses val="autoZero"/>
        <c:auto val="1"/>
        <c:lblAlgn val="ctr"/>
        <c:lblOffset val="100"/>
        <c:noMultiLvlLbl val="0"/>
      </c:catAx>
      <c:valAx>
        <c:axId val="48214244"/>
        <c:scaling>
          <c:orientation val="minMax"/>
          <c:max val="110"/>
          <c:min val="95"/>
        </c:scaling>
        <c:delete val="0"/>
        <c:axPos val="l"/>
        <c:numFmt formatCode="#,##0.####" sourceLinked="0"/>
        <c:majorTickMark val="out"/>
        <c:minorTickMark val="none"/>
        <c:tickLblPos val="none"/>
        <c:spPr>
          <a:ln w="9360">
            <a:noFill/>
          </a:ln>
        </c:spPr>
        <c:txPr>
          <a:bodyPr/>
          <a:lstStyle/>
          <a:p>
            <a:pPr>
              <a:defRPr b="0" sz="8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82484926"/>
        <c:crosses val="autoZero"/>
        <c:crossBetween val="midCat"/>
        <c:majorUnit val="1"/>
        <c:minorUnit val="1"/>
      </c:val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0.3315"/>
          <c:y val="0.908"/>
          <c:w val="0.318144884055253"/>
          <c:h val="0.068007556395155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000000"/>
              </a:solidFill>
              <a:latin typeface="Arial"/>
            </a:defRPr>
          </a:pPr>
        </a:p>
      </c:txPr>
    </c:legend>
    <c:plotVisOnly val="1"/>
    <c:dispBlanksAs val="gap"/>
  </c:chart>
  <c:spPr>
    <a:solidFill>
      <a:srgbClr val="ffffff"/>
    </a:solidFill>
    <a:ln w="9360"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30BDC-ED64-474A-851F-7D7C3329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Application>LibreOffice/6.4.7.2$Linux_X86_64 LibreOffice_project/40$Build-2</Application>
  <Pages>3</Pages>
  <Words>589</Words>
  <Characters>3118</Characters>
  <CharactersWithSpaces>3707</CharactersWithSpaces>
  <Paragraphs>67</Paragraphs>
  <Company>Krasnoyarskstat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2019-07-16T10:12:00Z</dcterms:created>
  <dc:creator>P24_kazakovaev</dc:creator>
  <dc:description/>
  <dc:language>ru-RU</dc:language>
  <cp:lastModifiedBy>Анна Нота</cp:lastModifiedBy>
  <cp:lastPrinted>2023-07-14T07:30:00Z</cp:lastPrinted>
  <dcterms:modified xsi:type="dcterms:W3CDTF">2023-07-14T08:45:00Z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Krasnoyarskstat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