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192" w:before="0" w:after="0"/>
        <w:ind w:left="11482" w:firstLine="11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Приложение 3</w:t>
      </w:r>
    </w:p>
    <w:p>
      <w:pPr>
        <w:pStyle w:val="NormalWeb"/>
        <w:spacing w:lineRule="auto" w:line="192" w:before="0" w:after="0"/>
        <w:ind w:left="11482" w:firstLine="11"/>
        <w:rPr>
          <w:rFonts w:eastAsia="MS Mincho"/>
          <w:sz w:val="30"/>
          <w:szCs w:val="30"/>
        </w:rPr>
      </w:pPr>
      <w:r>
        <w:rPr>
          <w:rFonts w:eastAsia="MS Mincho"/>
          <w:sz w:val="26"/>
        </w:rPr>
      </w:r>
    </w:p>
    <w:p>
      <w:pPr>
        <w:pStyle w:val="NormalWeb"/>
        <w:spacing w:before="0" w:after="0"/>
        <w:ind w:firstLine="709"/>
        <w:jc w:val="righ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Форма 19</w:t>
      </w:r>
    </w:p>
    <w:p>
      <w:pPr>
        <w:pStyle w:val="Normal"/>
        <w:spacing w:lineRule="exact" w:line="240"/>
        <w:jc w:val="center"/>
        <w:rPr>
          <w:szCs w:val="28"/>
        </w:rPr>
      </w:pPr>
      <w:r>
        <w:rPr>
          <w:szCs w:val="28"/>
        </w:rPr>
        <w:t xml:space="preserve">СВЕДЕНИЯ </w:t>
      </w:r>
    </w:p>
    <w:p>
      <w:pPr>
        <w:pStyle w:val="Normal"/>
        <w:spacing w:lineRule="exact" w:line="240"/>
        <w:jc w:val="center"/>
        <w:rPr>
          <w:szCs w:val="28"/>
        </w:rPr>
      </w:pPr>
      <w:r>
        <w:rPr>
          <w:szCs w:val="28"/>
        </w:rPr>
        <w:t xml:space="preserve">об обеспеченности трудовыми ресурсами (руководителями, специалистами, квалифицированными рабочими и служащими) </w:t>
      </w:r>
    </w:p>
    <w:p>
      <w:pPr>
        <w:pStyle w:val="Normal"/>
        <w:ind w:left="1985" w:hanging="0"/>
        <w:rPr>
          <w:sz w:val="26"/>
        </w:rPr>
      </w:pPr>
      <w:r>
        <w:rPr>
          <w:szCs w:val="28"/>
        </w:rPr>
        <w:t>на период мобилизации и на военное время</w:t>
      </w:r>
      <w:r>
        <w:rPr>
          <w:spacing w:val="-10"/>
          <w:szCs w:val="28"/>
        </w:rPr>
        <w:t xml:space="preserve"> </w:t>
      </w:r>
      <w:r>
        <w:rPr>
          <w:sz w:val="26"/>
        </w:rPr>
        <w:t xml:space="preserve"> _______________________________________________________________</w:t>
      </w:r>
    </w:p>
    <w:p>
      <w:pPr>
        <w:pStyle w:val="Normal"/>
        <w:spacing w:lineRule="exact" w:line="160"/>
        <w:jc w:val="center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spacing w:val="-10"/>
          <w:sz w:val="24"/>
          <w:szCs w:val="24"/>
        </w:rPr>
        <w:t>(наименование организации)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по состоянию на «__» ________ 20__ г.</w:t>
      </w:r>
    </w:p>
    <w:tbl>
      <w:tblPr>
        <w:tblStyle w:val="aa"/>
        <w:tblW w:w="159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6"/>
        <w:gridCol w:w="1510"/>
        <w:gridCol w:w="1541"/>
        <w:gridCol w:w="1622"/>
        <w:gridCol w:w="1896"/>
        <w:gridCol w:w="1506"/>
        <w:gridCol w:w="1986"/>
        <w:gridCol w:w="2053"/>
        <w:gridCol w:w="1849"/>
      </w:tblGrid>
      <w:tr>
        <w:trPr>
          <w:trHeight w:val="335" w:hRule="atLeast"/>
        </w:trPr>
        <w:tc>
          <w:tcPr>
            <w:tcW w:w="195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192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Наименование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192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должностей</w:t>
            </w:r>
          </w:p>
        </w:tc>
        <w:tc>
          <w:tcPr>
            <w:tcW w:w="151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192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Всего работающих</w:t>
            </w:r>
          </w:p>
        </w:tc>
        <w:tc>
          <w:tcPr>
            <w:tcW w:w="505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Из числа работающих граждан, пребывающих 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запасе</w:t>
            </w:r>
          </w:p>
        </w:tc>
        <w:tc>
          <w:tcPr>
            <w:tcW w:w="150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192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Остается в организации</w:t>
            </w:r>
          </w:p>
        </w:tc>
        <w:tc>
          <w:tcPr>
            <w:tcW w:w="198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192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Потребность на</w:t>
            </w:r>
          </w:p>
          <w:p>
            <w:pPr>
              <w:pStyle w:val="Normal"/>
              <w:widowControl w:val="false"/>
              <w:suppressAutoHyphens w:val="true"/>
              <w:spacing w:lineRule="auto" w:line="192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расчетный год</w:t>
            </w:r>
          </w:p>
        </w:tc>
        <w:tc>
          <w:tcPr>
            <w:tcW w:w="205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192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Некомплект (-)</w:t>
            </w:r>
          </w:p>
          <w:p>
            <w:pPr>
              <w:pStyle w:val="Normal"/>
              <w:widowControl w:val="false"/>
              <w:suppressAutoHyphens w:val="true"/>
              <w:spacing w:lineRule="auto" w:line="192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Избыток (+)</w:t>
            </w:r>
          </w:p>
        </w:tc>
        <w:tc>
          <w:tcPr>
            <w:tcW w:w="184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192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Процент</w:t>
            </w:r>
          </w:p>
          <w:p>
            <w:pPr>
              <w:pStyle w:val="Normal"/>
              <w:widowControl w:val="false"/>
              <w:suppressAutoHyphens w:val="true"/>
              <w:spacing w:lineRule="auto" w:line="192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обеспеченности</w:t>
            </w:r>
          </w:p>
          <w:p>
            <w:pPr>
              <w:pStyle w:val="Normal"/>
              <w:widowControl w:val="false"/>
              <w:suppressAutoHyphens w:val="true"/>
              <w:spacing w:lineRule="auto" w:line="192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трудовыми ресурсами**</w:t>
            </w:r>
          </w:p>
        </w:tc>
      </w:tr>
      <w:tr>
        <w:trPr>
          <w:trHeight w:val="218" w:hRule="atLeast"/>
        </w:trPr>
        <w:tc>
          <w:tcPr>
            <w:tcW w:w="195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1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забронировано</w:t>
            </w:r>
          </w:p>
        </w:tc>
        <w:tc>
          <w:tcPr>
            <w:tcW w:w="18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192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подлежит призыву</w:t>
            </w:r>
          </w:p>
          <w:p>
            <w:pPr>
              <w:pStyle w:val="Normal"/>
              <w:widowControl w:val="false"/>
              <w:suppressAutoHyphens w:val="true"/>
              <w:spacing w:lineRule="auto" w:line="192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по мобилизации*</w:t>
            </w:r>
          </w:p>
        </w:tc>
        <w:tc>
          <w:tcPr>
            <w:tcW w:w="150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5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8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20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9</w:t>
            </w:r>
          </w:p>
        </w:tc>
      </w:tr>
      <w:tr>
        <w:trPr/>
        <w:tc>
          <w:tcPr>
            <w:tcW w:w="19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Руководители</w:t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Специалисты</w:t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Служащие</w:t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Рабочие</w:t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из них водители</w:t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9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ind w:left="1416" w:firstLine="708"/>
        <w:rPr/>
      </w:pPr>
      <w:r>
        <w:rPr>
          <w:szCs w:val="28"/>
        </w:rPr>
        <w:t>Руководитель</w:t>
      </w:r>
      <w:r>
        <w:rPr/>
        <w:t xml:space="preserve"> 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rPr>
          <w:sz w:val="16"/>
        </w:rPr>
      </w:pPr>
      <w:r>
        <w:rPr>
          <w:sz w:val="16"/>
        </w:rPr>
        <w:tab/>
        <w:tab/>
        <w:tab/>
        <w:tab/>
        <w:tab/>
        <w:tab/>
        <w:tab/>
        <w:tab/>
        <w:tab/>
        <w:tab/>
        <w:t>(подпись, инициалы, фамилия)</w:t>
      </w:r>
    </w:p>
    <w:p>
      <w:pPr>
        <w:pStyle w:val="Normal"/>
        <w:spacing w:lineRule="exact" w:line="20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p>
      <w:pPr>
        <w:pStyle w:val="Normal"/>
        <w:spacing w:lineRule="exact" w:line="20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1. * Учитываются только граждане, пребывающие в запасе, имеющие мобилизационные предписания.</w:t>
      </w:r>
    </w:p>
    <w:p>
      <w:pPr>
        <w:pStyle w:val="Normal"/>
        <w:spacing w:lineRule="exact" w:line="20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2. ** Процент обеспеченности трудовыми ресурсами рассчитывается по формулам:</w:t>
      </w:r>
    </w:p>
    <w:p>
      <w:pPr>
        <w:pStyle w:val="Normal"/>
        <w:spacing w:lineRule="exact" w:line="20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a"/>
        <w:tblW w:w="15560" w:type="dxa"/>
        <w:jc w:val="left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00"/>
        <w:gridCol w:w="7759"/>
      </w:tblGrid>
      <w:tr>
        <w:trPr>
          <w:trHeight w:val="327" w:hRule="atLeast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48EA3A49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38735</wp:posOffset>
                      </wp:positionV>
                      <wp:extent cx="1510665" cy="532765"/>
                      <wp:effectExtent l="0" t="0" r="14605" b="20955"/>
                      <wp:wrapNone/>
                      <wp:docPr id="1" name="Двойные круглые скобки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200" cy="5320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Двойные круглые скобки 3" stroked="t" style="position:absolute;margin-left:133.6pt;margin-top:3.05pt;width:118.85pt;height:41.85pt;v-text-anchor:middle" wp14:anchorId="48EA3A49" type="shapetype_185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>
                <w:kern w:val="0"/>
                <w:sz w:val="24"/>
                <w:szCs w:val="24"/>
                <w:lang w:val="ru-RU" w:bidi="ar-SA"/>
              </w:rPr>
              <w:t>а) в случае некомплекта: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573DE163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60325</wp:posOffset>
                      </wp:positionV>
                      <wp:extent cx="1510665" cy="553720"/>
                      <wp:effectExtent l="0" t="0" r="14605" b="19050"/>
                      <wp:wrapNone/>
                      <wp:docPr id="2" name="Двойные круглые скобки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200" cy="5529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Двойные круглые скобки 4" stroked="t" style="position:absolute;margin-left:133.7pt;margin-top:4.75pt;width:118.85pt;height:43.5pt;v-text-anchor:middle" wp14:anchorId="573DE163" type="shapetype_185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>
                <w:kern w:val="0"/>
                <w:sz w:val="24"/>
                <w:szCs w:val="24"/>
                <w:lang w:val="ru-RU" w:bidi="ar-SA"/>
              </w:rPr>
              <w:t>б) в случае избытка:</w:t>
            </w:r>
          </w:p>
        </w:tc>
      </w:tr>
      <w:tr>
        <w:trPr>
          <w:trHeight w:val="685" w:hRule="atLeast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              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некомплект</w:t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4725686C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72390</wp:posOffset>
                      </wp:positionV>
                      <wp:extent cx="947420" cy="1270"/>
                      <wp:effectExtent l="0" t="0" r="25400" b="19050"/>
                      <wp:wrapNone/>
                      <wp:docPr id="3" name="Прямая соединительная линия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38.6pt,5.7pt" to="213.1pt,5.7pt" ID="Прямая соединительная линия 2" stroked="t" style="position:absolute" wp14:anchorId="4725686C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% обеспеченности = 100– </w:t>
            </w:r>
            <w:r>
              <w:rPr>
                <w:kern w:val="0"/>
                <w:sz w:val="24"/>
                <w:szCs w:val="24"/>
                <w:lang w:val="ru-RU" w:bidi="ar-SA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  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   х 100</w:t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both"/>
              <w:rPr>
                <w:sz w:val="24"/>
                <w:szCs w:val="24"/>
                <w:u w:val="single"/>
                <w:vertAlign w:val="subscript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              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потребность</w:t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                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избыток</w:t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both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731465B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72390</wp:posOffset>
                      </wp:positionV>
                      <wp:extent cx="947420" cy="1270"/>
                      <wp:effectExtent l="0" t="0" r="25400" b="19050"/>
                      <wp:wrapNone/>
                      <wp:docPr id="4" name="Прямая соединительная линия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38.6pt,5.7pt" to="213.1pt,5.7pt" ID="Прямая соединительная линия 1" stroked="t" style="position:absolute" wp14:anchorId="731465B1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% обеспеченности = 100+ </w:t>
            </w:r>
            <w:r>
              <w:rPr>
                <w:kern w:val="0"/>
                <w:sz w:val="24"/>
                <w:szCs w:val="24"/>
                <w:lang w:val="ru-RU" w:bidi="ar-SA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  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   х 100</w:t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both"/>
              <w:rPr>
                <w:sz w:val="24"/>
                <w:szCs w:val="24"/>
                <w:u w:val="single"/>
                <w:vertAlign w:val="subscript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                                              </w:t>
            </w:r>
            <w:r>
              <w:rPr>
                <w:kern w:val="0"/>
                <w:sz w:val="24"/>
                <w:szCs w:val="24"/>
                <w:lang w:val="ru-RU" w:bidi="ar-SA"/>
              </w:rPr>
              <w:t>потребность</w:t>
            </w:r>
          </w:p>
          <w:p>
            <w:pPr>
              <w:pStyle w:val="Normal"/>
              <w:widowControl w:val="false"/>
              <w:suppressAutoHyphens w:val="true"/>
              <w:spacing w:lineRule="exact" w:line="200" w:before="0" w:after="0"/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</w:r>
          </w:p>
        </w:tc>
      </w:tr>
    </w:tbl>
    <w:p>
      <w:pPr>
        <w:pStyle w:val="Normal"/>
        <w:spacing w:lineRule="exact" w:line="200"/>
        <w:ind w:left="360" w:hanging="0"/>
        <w:jc w:val="both"/>
        <w:rPr>
          <w:sz w:val="20"/>
        </w:rPr>
      </w:pPr>
      <w:r>
        <w:rPr/>
      </w:r>
    </w:p>
    <w:sectPr>
      <w:headerReference w:type="default" r:id="rId2"/>
      <w:type w:val="nextPage"/>
      <w:pgSz w:orient="landscape" w:w="16838" w:h="11906"/>
      <w:pgMar w:left="567" w:right="567" w:header="720" w:top="1843" w:footer="0" w:bottom="567" w:gutter="0"/>
      <w:pgNumType w:start="6"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96728578"/>
    </w:sdtPr>
    <w:sdtContent>
      <w:p>
        <w:pPr>
          <w:pStyle w:val="Style2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460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ef75e5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ef75e5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bc4606"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412792"/>
    <w:pPr>
      <w:spacing w:before="100" w:after="100"/>
    </w:pPr>
    <w:rPr>
      <w:sz w:val="24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ef75e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7"/>
    <w:uiPriority w:val="99"/>
    <w:unhideWhenUsed/>
    <w:rsid w:val="00ef75e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bc460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c46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3</docTitle>
    <pageLink xmlns="71932cde-1c9d-43c1-b19a-a67d245dfd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2C96F-E0F4-4500-8380-A14E4BED3F3A}"/>
</file>

<file path=customXml/itemProps2.xml><?xml version="1.0" encoding="utf-8"?>
<ds:datastoreItem xmlns:ds="http://schemas.openxmlformats.org/officeDocument/2006/customXml" ds:itemID="{906213C2-0AC3-424F-A153-F97C6A1652C7}"/>
</file>

<file path=customXml/itemProps3.xml><?xml version="1.0" encoding="utf-8"?>
<ds:datastoreItem xmlns:ds="http://schemas.openxmlformats.org/officeDocument/2006/customXml" ds:itemID="{373A5810-C2B7-43A8-A62E-480734F1D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LibreOffice/7.0.1.2$Windows_x86 LibreOffice_project/7cbcfc562f6eb6708b5ff7d7397325de9e764452</Application>
  <Pages>1</Pages>
  <Words>244</Words>
  <Characters>1391</Characters>
  <CharactersWithSpaces>1632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2017-10-01T10:57:00Z</dcterms:created>
  <dc:creator>Козинская Екатерина Сергеевна</dc:creator>
  <dc:description/>
  <dc:language>ru-RU</dc:language>
  <cp:lastModifiedBy/>
  <cp:lastPrinted>2020-09-14T07:18:00Z</cp:lastPrinted>
  <dcterms:modified xsi:type="dcterms:W3CDTF">2021-11-18T11:40:56Z</dcterms:modified>
  <cp:revision>13</cp:revision>
  <dc:subject/>
  <dc:title>приложение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0x010100488AD186181D11468798CE2B5654E719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