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Приложение №9  </w:t>
      </w:r>
    </w:p>
    <w:p>
      <w:pPr>
        <w:pStyle w:val="Normal"/>
        <w:shd w:val="clear" w:color="auto" w:fill="FFFFFF"/>
        <w:spacing w:before="0" w:after="0"/>
        <w:ind w:left="4956"/>
        <w:jc w:val="right"/>
        <w:rPr>
          <w:rFonts w:ascii="Times New Roman" w:hAnsi="Times New Roman" w:cs="Times New Roman"/>
          <w:sz w:val="28"/>
          <w:szCs w:val="28"/>
        </w:rPr>
      </w:pPr>
      <w:r>
        <w:rPr>
          <w:rFonts w:cs="Times New Roman" w:ascii="Times New Roman" w:hAnsi="Times New Roman"/>
          <w:sz w:val="28"/>
          <w:szCs w:val="28"/>
        </w:rPr>
        <w:t>к Распоряжению Администрации города Шарыпово</w:t>
      </w:r>
    </w:p>
    <w:p>
      <w:pPr>
        <w:pStyle w:val="Heading7"/>
        <w:jc w:val="right"/>
        <w:rPr>
          <w:sz w:val="16"/>
          <w:szCs w:val="16"/>
        </w:rPr>
      </w:pPr>
      <w:r>
        <w:rPr>
          <w:sz w:val="28"/>
          <w:szCs w:val="28"/>
        </w:rPr>
        <w:t>от 01.04.2025 г. № 367</w:t>
      </w:r>
      <w:bookmarkStart w:id="0" w:name="_GoBack"/>
      <w:bookmarkEnd w:id="0"/>
      <w:r>
        <w:rPr>
          <w:sz w:val="28"/>
          <w:szCs w:val="28"/>
        </w:rPr>
        <w:t xml:space="preserve">              </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t>Программа проведения оценки</w:t>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t xml:space="preserve">обеспечения готовности потребителей тепловой энергии, </w:t>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t>управляющих организаций, эксплуатирующих организаций,</w:t>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t>расположенных на территории городского округа города Шарыпово,</w:t>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к отопительному периоду 2025-2026 г.г</w:t>
      </w:r>
    </w:p>
    <w:p>
      <w:pPr>
        <w:pStyle w:val="Normal"/>
        <w:ind w:right="-142"/>
        <w:jc w:val="center"/>
        <w:rPr>
          <w:rFonts w:ascii="Times New Roman" w:hAnsi="Times New Roman" w:cs="Times New Roman"/>
          <w:sz w:val="20"/>
          <w:szCs w:val="20"/>
        </w:rPr>
      </w:pPr>
      <w:r>
        <w:rPr>
          <w:rFonts w:cs="Times New Roman" w:ascii="Times New Roman" w:hAnsi="Times New Roman"/>
          <w:sz w:val="20"/>
          <w:szCs w:val="20"/>
        </w:rPr>
      </w:r>
    </w:p>
    <w:p>
      <w:pPr>
        <w:pStyle w:val="Normal"/>
        <w:ind w:firstLine="709"/>
        <w:jc w:val="center"/>
        <w:rPr>
          <w:rFonts w:ascii="Times New Roman" w:hAnsi="Times New Roman" w:eastAsia="Calibri" w:cs="Times New Roman"/>
          <w:sz w:val="28"/>
          <w:szCs w:val="28"/>
        </w:rPr>
      </w:pPr>
      <w:r>
        <w:rPr>
          <w:rFonts w:eastAsia="Calibri" w:cs="Times New Roman" w:ascii="Times New Roman" w:hAnsi="Times New Roman"/>
          <w:sz w:val="28"/>
          <w:szCs w:val="28"/>
        </w:rPr>
        <w:t>1. Порядок проведения оценки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1.1. Оценка обеспечения готовности потребителей тепловой энергии, управляющих организаций, расположенных на территории городского округа города Шарыпово, осуществляется комиссией, состав которой утверждается Администрацией города Шарыпово.</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1.2.  В своей работе комиссия руководствуется Порядком проведения оценки обеспечения готовности к отопительному периоду, утвержденным приказом Минэнерго России от 13.11.2024 г. №2234 (далее – Порядок).</w:t>
      </w:r>
    </w:p>
    <w:p>
      <w:pPr>
        <w:pStyle w:val="Normal"/>
        <w:spacing w:before="0" w:after="0"/>
        <w:ind w:firstLine="720" w:right="-142"/>
        <w:jc w:val="both"/>
        <w:rPr>
          <w:rFonts w:ascii="Times New Roman" w:hAnsi="Times New Roman" w:cs="Times New Roman"/>
          <w:sz w:val="28"/>
          <w:szCs w:val="28"/>
        </w:rPr>
      </w:pPr>
      <w:r>
        <w:rPr>
          <w:rFonts w:cs="Times New Roman" w:ascii="Times New Roman" w:hAnsi="Times New Roman"/>
          <w:sz w:val="28"/>
          <w:szCs w:val="28"/>
        </w:rPr>
        <w:t xml:space="preserve">1.3. Оценка проводится на предмет соблюдения обязательных требований, установленных техническими регламентами и иными нормативными правовыми актами в сфере теплоснабжения, Правилами обеспечения готовности к отопительному периоду, утвержденными </w:t>
      </w:r>
      <w:r>
        <w:rPr>
          <w:rFonts w:eastAsia="Calibri" w:cs="Times New Roman" w:ascii="Times New Roman" w:hAnsi="Times New Roman"/>
          <w:sz w:val="28"/>
          <w:szCs w:val="28"/>
        </w:rPr>
        <w:t>приказом Минэнерго России от 13.11.2024 г. №2234</w:t>
      </w:r>
      <w:r>
        <w:rPr>
          <w:rFonts w:cs="Times New Roman" w:ascii="Times New Roman" w:hAnsi="Times New Roman"/>
          <w:sz w:val="28"/>
          <w:szCs w:val="28"/>
        </w:rPr>
        <w:t xml:space="preserve"> (далее - Правила).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1.4. Оценка осуществляется в отношении:</w:t>
      </w:r>
    </w:p>
    <w:p>
      <w:pPr>
        <w:pStyle w:val="Normal"/>
        <w:spacing w:lineRule="auto" w:line="240" w:before="0" w:after="0"/>
        <w:jc w:val="both"/>
        <w:rPr>
          <w:rFonts w:ascii="Times New Roman" w:hAnsi="Times New Roman" w:cs="Times New Roman"/>
          <w:sz w:val="28"/>
          <w:szCs w:val="28"/>
        </w:rPr>
      </w:pPr>
      <w:r>
        <w:rPr>
          <w:rFonts w:eastAsia="Calibri" w:cs="Times New Roman" w:ascii="Times New Roman" w:hAnsi="Times New Roman"/>
          <w:sz w:val="28"/>
          <w:szCs w:val="28"/>
        </w:rPr>
        <w:tab/>
        <w:t>-</w:t>
      </w:r>
      <w:r>
        <w:rPr>
          <w:rFonts w:cs="Times New Roman" w:ascii="Times New Roman" w:hAnsi="Times New Roman"/>
          <w:sz w:val="28"/>
          <w:szCs w:val="28"/>
        </w:rPr>
        <w:t xml:space="preserve">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теплоснабжения по отдельному тепловому вводу, - в отношении теплопотребляющих установок, инженерных коммуникаций (в том числе тепловых сетей при наличии таких сетей),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(домовладений) (далее – Потребители тепловой энергии);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 Управляющих организаций при осуществлении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w:t>
      </w:r>
      <w:hyperlink r:id="rId2">
        <w:r>
          <w:rPr>
            <w:rFonts w:cs="Times New Roman" w:ascii="Times New Roman" w:hAnsi="Times New Roman"/>
            <w:sz w:val="28"/>
            <w:szCs w:val="28"/>
          </w:rPr>
          <w:t>статьи 161</w:t>
        </w:r>
      </w:hyperlink>
      <w:r>
        <w:rPr>
          <w:rFonts w:cs="Times New Roman" w:ascii="Times New Roman" w:hAnsi="Times New Roman"/>
          <w:sz w:val="28"/>
          <w:szCs w:val="28"/>
        </w:rPr>
        <w:t xml:space="preserve"> Жилищного кодекса Российской Федерации (далее –Управляющие организации);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 Лиц, с которыми в соответствии с </w:t>
      </w:r>
      <w:hyperlink r:id="rId3">
        <w:r>
          <w:rPr>
            <w:rFonts w:cs="Times New Roman" w:ascii="Times New Roman" w:hAnsi="Times New Roman"/>
            <w:sz w:val="28"/>
            <w:szCs w:val="28"/>
          </w:rPr>
          <w:t>частью 1 статьи 164</w:t>
        </w:r>
      </w:hyperlink>
      <w:r>
        <w:rPr>
          <w:rFonts w:cs="Times New Roman" w:ascii="Times New Roman" w:hAnsi="Times New Roman"/>
          <w:sz w:val="28"/>
          <w:szCs w:val="28"/>
        </w:rP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(далее – Эксплуатирующие организации).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1.5. Оценка обеспечения готовности потребителей тепловой энергии проводится в отношении теплопотребляющих установок, инженерных коммуникаций, принадлежащих потребителям тепловой энергии на праве собственности или ином законном основании за исключением теплопотребляющих установок и инженерных коммуникаций жилых домов (домовладений).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1.6. Оценка обеспечения готовности управляющих организаций, эксплуатирующих организаций проводится в отношении теплопотребляющих установок, инженерных коммуникации и иного общедомового имущества, обслуживающего более одного жилого и (или) нежилого помещения в многоквартирном доме (в том числе котельных, бойлерных, элеваторных узлов), обязанность по содержанию и (или) техническому обслуживанию, и (или) ремонту, и (или) эксплуатации которых возложена на управляющие организации, эксплуатирующие организации в соответствии со </w:t>
      </w:r>
      <w:hyperlink r:id="rId4">
        <w:r>
          <w:rPr>
            <w:rFonts w:cs="Times New Roman" w:ascii="Times New Roman" w:hAnsi="Times New Roman"/>
            <w:sz w:val="28"/>
            <w:szCs w:val="28"/>
          </w:rPr>
          <w:t>статьей 161</w:t>
        </w:r>
      </w:hyperlink>
      <w:r>
        <w:rPr>
          <w:rFonts w:cs="Times New Roman" w:ascii="Times New Roman" w:hAnsi="Times New Roman"/>
          <w:sz w:val="28"/>
          <w:szCs w:val="28"/>
        </w:rPr>
        <w:t xml:space="preserve"> Жилищного кодекса Российской Федерации.</w:t>
      </w:r>
    </w:p>
    <w:p>
      <w:pPr>
        <w:pStyle w:val="Normal"/>
        <w:spacing w:before="0" w:after="0"/>
        <w:ind w:firstLine="709"/>
        <w:jc w:val="both"/>
        <w:rPr>
          <w:rFonts w:ascii="Times New Roman" w:hAnsi="Times New Roman" w:cs="Times New Roman"/>
          <w:sz w:val="28"/>
          <w:szCs w:val="28"/>
        </w:rPr>
      </w:pPr>
      <w:r>
        <w:rPr>
          <w:rFonts w:eastAsia="Calibri" w:cs="Times New Roman" w:ascii="Times New Roman" w:hAnsi="Times New Roman"/>
          <w:sz w:val="28"/>
          <w:szCs w:val="28"/>
        </w:rPr>
        <w:t xml:space="preserve">1.7. </w:t>
      </w:r>
      <w:r>
        <w:rPr>
          <w:rFonts w:cs="Times New Roman" w:ascii="Times New Roman" w:hAnsi="Times New Roman"/>
          <w:sz w:val="28"/>
          <w:szCs w:val="28"/>
        </w:rPr>
        <w:t>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Уведомление о сроках проведения оценки готовности должно содержать дату, к которой потребители тепловой энергии, управляющие организации, эксплуатирующие организации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w:t>
      </w:r>
      <w:hyperlink w:anchor="P86">
        <w:r>
          <w:rPr>
            <w:rFonts w:cs="Times New Roman" w:ascii="Times New Roman" w:hAnsi="Times New Roman"/>
            <w:sz w:val="28"/>
            <w:szCs w:val="28"/>
          </w:rPr>
          <w:t>пункт</w:t>
        </w:r>
      </w:hyperlink>
      <w:r>
        <w:rPr>
          <w:rFonts w:cs="Times New Roman" w:ascii="Times New Roman" w:hAnsi="Times New Roman"/>
          <w:sz w:val="28"/>
          <w:szCs w:val="28"/>
        </w:rPr>
        <w:t>ом 11 Правил обеспечения готовности к отопительному периоду, а также заполненные оценочные листы.</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1.8. В рамках проведения оценки обеспечения готовности комиссия осуществляет оценку готовности на предмет выполнения требований, установленных </w:t>
      </w:r>
      <w:hyperlink w:anchor="P35">
        <w:r>
          <w:rPr>
            <w:rFonts w:cs="Times New Roman" w:ascii="Times New Roman" w:hAnsi="Times New Roman"/>
            <w:sz w:val="28"/>
            <w:szCs w:val="28"/>
          </w:rPr>
          <w:t>Правилами</w:t>
        </w:r>
      </w:hyperlink>
      <w:r>
        <w:rPr>
          <w:rFonts w:cs="Times New Roman" w:ascii="Times New Roman" w:hAnsi="Times New Roman"/>
          <w:sz w:val="28"/>
          <w:szCs w:val="28"/>
        </w:rPr>
        <w:t xml:space="preserve">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1.9. Уровень готовности потребителей тепловой энергии, управляющих организаций, эксплуатирующих организаций, определяется как среднеарифметическое значение индексов готовности объектов оценки обеспечения готовности.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расчета индекса готовности устанавливается: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уровень готовности "Не готов" - если индекс готовности меньше 0,8;</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уровень готовности "Готов с условиями" - если индекс готовности меньше 0,9 и больше либо равен 0,8;</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уровень готовности "Готов" - если индекс готовности больше либо равен 0,9.</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балльная оценка хотя бы одного показателя готовности, определенного</w:t>
      </w:r>
      <w:r>
        <w:rPr/>
        <w:t xml:space="preserve"> </w:t>
      </w:r>
      <w:hyperlink w:anchor="P421">
        <w:r>
          <w:rPr>
            <w:rFonts w:cs="Times New Roman" w:ascii="Times New Roman" w:hAnsi="Times New Roman"/>
            <w:sz w:val="28"/>
            <w:szCs w:val="28"/>
          </w:rPr>
          <w:t>пунктом 19</w:t>
        </w:r>
      </w:hyperlink>
      <w:r>
        <w:rPr>
          <w:rFonts w:cs="Times New Roman" w:ascii="Times New Roman" w:hAnsi="Times New Roman"/>
          <w:sz w:val="28"/>
          <w:szCs w:val="28"/>
        </w:rPr>
        <w:t xml:space="preserve"> Порядка, равна 0, то значение индекса готовности принимается не более 0,8.</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расчете индекса готовности в случае, если требования к объекту теплоснабжения, установленные </w:t>
      </w:r>
      <w:hyperlink r:id="rId5">
        <w:r>
          <w:rPr>
            <w:rFonts w:cs="Times New Roman" w:ascii="Times New Roman" w:hAnsi="Times New Roman"/>
            <w:sz w:val="28"/>
            <w:szCs w:val="28"/>
          </w:rPr>
          <w:t>статьей 20</w:t>
        </w:r>
      </w:hyperlink>
      <w:r>
        <w:rPr>
          <w:rFonts w:cs="Times New Roman" w:ascii="Times New Roman" w:hAnsi="Times New Roman"/>
          <w:sz w:val="28"/>
          <w:szCs w:val="28"/>
        </w:rPr>
        <w:t xml:space="preserve">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1.10. В отношении потребителей тепловой энергии, управляющих организаций, эксплуатирующих организаций расчет индекса готовности и проверка оценочных листов осуществляется единой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 В случае расхождений между сведениями (информацией), представленными в комиссию потребителями тепловой энергии, управляющими организациями, эксплуатирующими организациями, и данными единой теплоснабжающей организации, в зону (зоны) деятельности которой входит соответствующая система (системы) теплоснабжения, у вышеуказанных лиц могут быть запрошены дополнительные документы (сведения), предусмотренные </w:t>
      </w:r>
      <w:hyperlink w:anchor="P35">
        <w:r>
          <w:rPr>
            <w:rFonts w:cs="Times New Roman" w:ascii="Times New Roman" w:hAnsi="Times New Roman"/>
            <w:sz w:val="28"/>
            <w:szCs w:val="28"/>
          </w:rPr>
          <w:t>Правилами</w:t>
        </w:r>
      </w:hyperlink>
      <w:r>
        <w:rPr>
          <w:rFonts w:cs="Times New Roman" w:ascii="Times New Roman" w:hAnsi="Times New Roman"/>
          <w:sz w:val="28"/>
          <w:szCs w:val="28"/>
        </w:rPr>
        <w:t xml:space="preserve"> обеспечения готовности к отопительному периоду, а также может быть проведен визуальный осмотр объектов теплоснабжения.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1.11. В течение 10 календарных дней с даты предоставления комиссией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 </w:t>
      </w:r>
      <w:hyperlink w:anchor="P68">
        <w:r>
          <w:rPr>
            <w:rFonts w:cs="Times New Roman" w:ascii="Times New Roman" w:hAnsi="Times New Roman"/>
            <w:sz w:val="28"/>
            <w:szCs w:val="28"/>
          </w:rPr>
          <w:t>пункт</w:t>
        </w:r>
      </w:hyperlink>
      <w:r>
        <w:rPr>
          <w:rFonts w:cs="Times New Roman" w:ascii="Times New Roman" w:hAnsi="Times New Roman"/>
          <w:sz w:val="28"/>
          <w:szCs w:val="28"/>
        </w:rPr>
        <w:t xml:space="preserve">ом </w:t>
      </w:r>
      <w:hyperlink w:anchor="P148">
        <w:r>
          <w:rPr>
            <w:rFonts w:cs="Times New Roman" w:ascii="Times New Roman" w:hAnsi="Times New Roman"/>
            <w:sz w:val="28"/>
            <w:szCs w:val="28"/>
          </w:rPr>
          <w:t>11</w:t>
        </w:r>
      </w:hyperlink>
      <w:r>
        <w:rPr>
          <w:rFonts w:cs="Times New Roman" w:ascii="Times New Roman" w:hAnsi="Times New Roman"/>
          <w:sz w:val="28"/>
          <w:szCs w:val="28"/>
        </w:rPr>
        <w:t xml:space="preserve"> Правил обеспечения готовности к отопительному периоду, единая теплоснабжающая организация осуществляет проверку оценочных листов и производит расчет индекса готовности.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(далее - акт) единой теплоснабжающей организацией в комиссию для определения уровня готовности потребителей тепловой энергии, управляющих организаций, эксплуатирующих организаций, и оформления результатов оценки обеспечения готовности.</w:t>
      </w:r>
      <w:r>
        <w:rPr/>
        <w:tab/>
      </w:r>
      <w:r>
        <w:rPr>
          <w:rFonts w:cs="Times New Roman" w:ascii="Times New Roman" w:hAnsi="Times New Roman"/>
          <w:sz w:val="28"/>
          <w:szCs w:val="28"/>
        </w:rPr>
        <w:t>1.12.</w:t>
      </w:r>
      <w:r>
        <w:rPr/>
        <w:t xml:space="preserve"> </w:t>
      </w:r>
      <w:r>
        <w:rPr>
          <w:rFonts w:cs="Times New Roman" w:ascii="Times New Roman" w:hAnsi="Times New Roman"/>
          <w:sz w:val="28"/>
          <w:szCs w:val="28"/>
        </w:rPr>
        <w:t>Сроки проведения оценки обеспечения готовности не должны превышать 30 календарных дней с даты начала оценки обеспечения готовности.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1.13. 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 (рекомендуемый образец приведен в </w:t>
      </w:r>
      <w:hyperlink w:anchor="P2220">
        <w:r>
          <w:rPr>
            <w:rFonts w:cs="Times New Roman" w:ascii="Times New Roman" w:hAnsi="Times New Roman"/>
            <w:sz w:val="28"/>
            <w:szCs w:val="28"/>
          </w:rPr>
          <w:t>приложении № 5</w:t>
        </w:r>
      </w:hyperlink>
      <w:r>
        <w:rPr>
          <w:rFonts w:cs="Times New Roman" w:ascii="Times New Roman" w:hAnsi="Times New Roman"/>
          <w:sz w:val="28"/>
          <w:szCs w:val="28"/>
        </w:rPr>
        <w:t xml:space="preserve"> к Порядку проведения оценки обеспечения готовности к отопительному периоду).</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1.14. 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w:t>
      </w:r>
      <w:hyperlink w:anchor="P35">
        <w:r>
          <w:rPr>
            <w:rFonts w:cs="Times New Roman" w:ascii="Times New Roman" w:hAnsi="Times New Roman"/>
            <w:sz w:val="28"/>
            <w:szCs w:val="28"/>
          </w:rPr>
          <w:t>Правилами</w:t>
        </w:r>
      </w:hyperlink>
      <w:r>
        <w:rPr>
          <w:rFonts w:cs="Times New Roman" w:ascii="Times New Roman" w:hAnsi="Times New Roman"/>
          <w:sz w:val="28"/>
          <w:szCs w:val="28"/>
        </w:rPr>
        <w:t xml:space="preserve"> обеспечения готовности к отопительному периоду, в оценочном листе указывается срок устранения выявленных замечаний.</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Замечания по невыполнению требований </w:t>
      </w:r>
      <w:hyperlink w:anchor="P155">
        <w:r>
          <w:rPr>
            <w:rFonts w:cs="Times New Roman" w:ascii="Times New Roman" w:hAnsi="Times New Roman"/>
            <w:sz w:val="28"/>
            <w:szCs w:val="28"/>
          </w:rPr>
          <w:t>подпункта 11.4 пункта 11</w:t>
        </w:r>
      </w:hyperlink>
      <w:r>
        <w:rPr>
          <w:rFonts w:cs="Times New Roman" w:ascii="Times New Roman" w:hAnsi="Times New Roman"/>
          <w:sz w:val="28"/>
          <w:szCs w:val="28"/>
        </w:rPr>
        <w:t xml:space="preserve"> Правил обеспечения готовности к отопительному периоду, в оценочном листе акта не отражаются.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1.15. 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1.16. Срок составления акта для потребителей тепловой энергии, управляющих организаций, эксплуатирующих организаций – не позднее 10 сентября.</w:t>
      </w:r>
    </w:p>
    <w:p>
      <w:pPr>
        <w:pStyle w:val="ConsPlusNormal"/>
        <w:ind w:firstLine="540"/>
        <w:jc w:val="both"/>
        <w:rPr>
          <w:rFonts w:ascii="Times New Roman" w:hAnsi="Times New Roman" w:cs="Times New Roman"/>
          <w:sz w:val="28"/>
          <w:szCs w:val="28"/>
        </w:rPr>
      </w:pPr>
      <w:bookmarkStart w:id="1" w:name="P412"/>
      <w:bookmarkEnd w:id="1"/>
      <w:r>
        <w:rPr>
          <w:rFonts w:cs="Times New Roman" w:ascii="Times New Roman" w:hAnsi="Times New Roman"/>
          <w:sz w:val="28"/>
          <w:szCs w:val="28"/>
        </w:rPr>
        <w:t xml:space="preserve">1.17. Паспорт обеспечения готовности к отопительному периоду (далее - паспорт) (рекомендуемый образец приведен в </w:t>
      </w:r>
      <w:hyperlink w:anchor="P2310">
        <w:r>
          <w:rPr>
            <w:rFonts w:cs="Times New Roman" w:ascii="Times New Roman" w:hAnsi="Times New Roman"/>
            <w:sz w:val="28"/>
            <w:szCs w:val="28"/>
          </w:rPr>
          <w:t>приложении № 6</w:t>
        </w:r>
      </w:hyperlink>
      <w:r>
        <w:rPr>
          <w:rFonts w:cs="Times New Roman" w:ascii="Times New Roman" w:hAnsi="Times New Roman"/>
          <w:sz w:val="28"/>
          <w:szCs w:val="28"/>
        </w:rPr>
        <w:t xml:space="preserve"> к Порядку проведения оценки обеспечения готовности к отопительному сезону выдается комиссией,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установленных сроков (10 сентября).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1.18. Сроки выдачи паспортов</w:t>
      </w:r>
      <w:r>
        <w:rPr/>
        <w:t xml:space="preserve"> </w:t>
      </w:r>
      <w:r>
        <w:rPr>
          <w:rFonts w:cs="Times New Roman" w:ascii="Times New Roman" w:hAnsi="Times New Roman"/>
          <w:sz w:val="28"/>
          <w:szCs w:val="28"/>
        </w:rPr>
        <w:t>для потребителей тепловой энергии, управляющих организаций, эксплуатирующих организаций – не позднее 15 сентября.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1.19. 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официальных сайтах уполномоченных органов в информационно-телекоммуникационной сети "Интернет" в срок до 1 декабря.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1.20. Потребители тепловой энергии, управляющие организации, эксплуатирующие организации, не получившие паспорт до 15 сентября, обязаны продолжить подготовку к отопительному периоду посредством устранения указанных в оценочном листе замечаний.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1.21.В случае неустранения замечаний, указанных в акте, в установленный актом срок потребителями тепловой энергии, управляющими организациями, эксплуатирующими организациями,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1.22.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bookmarkStart w:id="2" w:name="P421"/>
      <w:bookmarkEnd w:id="2"/>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1.23. Значение индекса готовности потребителей тепловой энергии, управляющих организаций, эксплуатирующих организаций не может быть более 0,8 в случае, если хотя бы один из нижеперечисленных показателей готовности равен 0:</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показатель наличия акта промывки теплопотребляющей установки;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1.24. Образец оценочного листа для расчета индекса готовности к отопительному периоду потребителей тепловой энергии, управляющих организаций, эксплуатирующих организаций указан в приложении №4 к Порядку проведения оценки обеспечения готовности к отопительному периоду.</w:t>
      </w:r>
    </w:p>
    <w:p>
      <w:pPr>
        <w:pStyle w:val="Normal"/>
        <w:ind w:firstLine="709"/>
        <w:jc w:val="center"/>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firstLine="709"/>
        <w:jc w:val="center"/>
        <w:rPr>
          <w:rFonts w:ascii="Times New Roman" w:hAnsi="Times New Roman" w:eastAsia="Calibri" w:cs="Times New Roman"/>
          <w:sz w:val="28"/>
          <w:szCs w:val="28"/>
        </w:rPr>
      </w:pPr>
      <w:r>
        <w:rPr>
          <w:rFonts w:eastAsia="Calibri" w:cs="Times New Roman" w:ascii="Times New Roman" w:hAnsi="Times New Roman"/>
          <w:sz w:val="28"/>
          <w:szCs w:val="28"/>
        </w:rPr>
        <w:t>2.Требования обеспечения готовности к отопительному периоду.</w:t>
      </w:r>
    </w:p>
    <w:p>
      <w:pPr>
        <w:pStyle w:val="Normal"/>
        <w:spacing w:before="0" w:after="0"/>
        <w:ind w:firstLine="709"/>
        <w:jc w:val="both"/>
        <w:rPr>
          <w:rFonts w:ascii="Times New Roman" w:hAnsi="Times New Roman" w:cs="Times New Roman"/>
          <w:sz w:val="28"/>
          <w:szCs w:val="28"/>
        </w:rPr>
      </w:pPr>
      <w:r>
        <w:rPr>
          <w:rFonts w:eastAsia="Calibri" w:cs="Times New Roman" w:ascii="Times New Roman" w:hAnsi="Times New Roman"/>
          <w:sz w:val="28"/>
          <w:szCs w:val="28"/>
        </w:rPr>
        <w:t xml:space="preserve">2.1. </w:t>
      </w:r>
      <w:r>
        <w:rPr>
          <w:rFonts w:cs="Times New Roman" w:ascii="Times New Roman" w:hAnsi="Times New Roman"/>
          <w:sz w:val="28"/>
          <w:szCs w:val="28"/>
        </w:rPr>
        <w:t>Подготовка к отопительному периоду, в отношении которого проводится оценка обеспечения готовности (далее - отопительный период), потребителями тепловой энергии, управляющими организациями, эксплуатирующими организациями   должна начинаться в период, предшествующий отопительному периоду (далее - текущий отопительный период).</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2.2. В целях подготовки к отопительному периоду управляющие организации, эксплуатирующие организации обязаны разработать план подготовки к отопительному периоду, который должен содержать результаты анализа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bookmarkStart w:id="3" w:name="P49"/>
      <w:bookmarkEnd w:id="3"/>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При этом потребители тепловой энергии обязаны выполнять мероприятия плана подготовки к отопительному периоду единой теплоснабжающей организации в части, касающейся подготовки оборудования индивидуальных тепловых пунктов и внутренних систем теплопотребления к отопительному периоду. Указанные лица вправе разработать и утвердить собственный план подготовки к отопительному периоду, содержащий план подготовки к отопительному периоду единой теплоснабжающей организации и результаты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2.3. План подготовки к отопительному периоду ежегодно разрабатывается и утверждается организационно-распорядительным документом потребителей тепловой энергии (при принятии лицом решения о разработке и утверждении плана подготовки к отопительному периоду), управляющих организаций, эксплуатирующих организаций - не позднее 30 апреля.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2.4. План подготовки к отопительному периоду должен содержать организационные и технические мероприятия, предусмотренные </w:t>
      </w:r>
      <w:hyperlink w:anchor="P86">
        <w:r>
          <w:rPr>
            <w:rFonts w:cs="Times New Roman" w:ascii="Times New Roman" w:hAnsi="Times New Roman"/>
            <w:sz w:val="28"/>
            <w:szCs w:val="28"/>
          </w:rPr>
          <w:t>пунктом</w:t>
        </w:r>
      </w:hyperlink>
      <w:r>
        <w:rPr>
          <w:rFonts w:cs="Times New Roman" w:ascii="Times New Roman" w:hAnsi="Times New Roman"/>
          <w:sz w:val="28"/>
          <w:szCs w:val="28"/>
        </w:rPr>
        <w:t xml:space="preserve"> </w:t>
      </w:r>
      <w:hyperlink w:anchor="P148">
        <w:r>
          <w:rPr>
            <w:rFonts w:cs="Times New Roman" w:ascii="Times New Roman" w:hAnsi="Times New Roman"/>
            <w:sz w:val="28"/>
            <w:szCs w:val="28"/>
          </w:rPr>
          <w:t>11</w:t>
        </w:r>
      </w:hyperlink>
      <w:r>
        <w:rPr>
          <w:rFonts w:cs="Times New Roman" w:ascii="Times New Roman" w:hAnsi="Times New Roman"/>
          <w:sz w:val="28"/>
          <w:szCs w:val="28"/>
        </w:rPr>
        <w:t xml:space="preserve"> Правил, с указанием сроков их выполнения, включающие в том числе мероприятия, направленные 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2.5. План подготовки к отопительному периоду в целях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должен согласовываться с единой теплоснабжающей организацией, при этом сроки согласования не должны превышать 15 рабочих дней со дня получения единой теплоснабжающей организацией плана подготовки к отопительному периоду на рассмотрение.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2.6. План подготовки к отопительному периоду в течение 5 рабочих дней со дня его утверждения направляется потребителями тепловой энергии (при принятии лицом решения о разработке и утверждении плана подготовки к отопительному периоду), управляющими организациями, эксплуатирующими организациями в Администрацию города Шарыпово.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Допускается внесение корректировок в план подготовки к отопительному периоду в случае изменения условий эксплуатации или непредвиденных обстоятельств при условии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2.7. Планы подготовки к отопительному периоду управляющих организаций, эксплуатирующих организаций размещаются на официальных сайтах (при наличии) организаций не позднее 5 рабочих дней со дня их утверждения.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Управляющие организации, эксплуатирующие организации, у которых отсутствует официальный сайт, направляют план подготовки к отопительному периоду в обозначенные сроки, в Администрацию города Шарыпово для размещения на официальном сайте органа местного самоуправления в информационно-телекоммуникационной сети "Интернет".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2.8. В целях обеспечения готовности к отопительному периоду потребители тепловой энергии, управляющие организации, эксплуатирующие организации обязаны:</w:t>
      </w:r>
      <w:bookmarkStart w:id="4" w:name="P149"/>
      <w:bookmarkEnd w:id="4"/>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2.8.1. Выполнить требования, установленные </w:t>
      </w:r>
      <w:hyperlink r:id="rId6">
        <w:r>
          <w:rPr>
            <w:rFonts w:cs="Times New Roman" w:ascii="Times New Roman" w:hAnsi="Times New Roman"/>
            <w:sz w:val="28"/>
            <w:szCs w:val="28"/>
          </w:rPr>
          <w:t>частью 6 статьи 20</w:t>
        </w:r>
      </w:hyperlink>
      <w:r>
        <w:rPr>
          <w:rFonts w:cs="Times New Roman" w:ascii="Times New Roman" w:hAnsi="Times New Roman"/>
          <w:sz w:val="28"/>
          <w:szCs w:val="28"/>
        </w:rPr>
        <w:t xml:space="preserve"> и </w:t>
      </w:r>
      <w:hyperlink r:id="rId7">
        <w:r>
          <w:rPr>
            <w:rFonts w:cs="Times New Roman" w:ascii="Times New Roman" w:hAnsi="Times New Roman"/>
            <w:sz w:val="28"/>
            <w:szCs w:val="28"/>
          </w:rPr>
          <w:t>частью 3 статьи 23.2</w:t>
        </w:r>
      </w:hyperlink>
      <w:r>
        <w:rPr>
          <w:rFonts w:cs="Times New Roman" w:ascii="Times New Roman" w:hAnsi="Times New Roman"/>
          <w:sz w:val="28"/>
          <w:szCs w:val="28"/>
        </w:rPr>
        <w:t xml:space="preserve"> Федерального закона о теплоснабжении.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2.8.2. Обеспечить выполнение требований </w:t>
      </w:r>
      <w:hyperlink r:id="rId8">
        <w:r>
          <w:rPr>
            <w:rFonts w:cs="Times New Roman" w:ascii="Times New Roman" w:hAnsi="Times New Roman"/>
            <w:sz w:val="28"/>
            <w:szCs w:val="28"/>
          </w:rPr>
          <w:t>Правил</w:t>
        </w:r>
      </w:hyperlink>
      <w:r>
        <w:rPr>
          <w:rFonts w:cs="Times New Roman" w:ascii="Times New Roman" w:hAnsi="Times New Roman"/>
          <w:sz w:val="28"/>
          <w:szCs w:val="28"/>
        </w:rPr>
        <w:t xml:space="preserve"> и норм технической эксплуатации жилищного фонда, утвержденных постановлением Госстроя России от 27 сентября 2003 г. № 170 (далее - Правила № 170), в случае эксплуатации жилищного фонда.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2.8.3. Обеспечить выполнение предписаний, содержащих требования об устранении нарушений требований </w:t>
      </w:r>
      <w:hyperlink r:id="rId9">
        <w:r>
          <w:rPr>
            <w:rFonts w:cs="Times New Roman" w:ascii="Times New Roman" w:hAnsi="Times New Roman"/>
            <w:sz w:val="28"/>
            <w:szCs w:val="28"/>
          </w:rPr>
          <w:t>пунктов 2.2.1</w:t>
        </w:r>
      </w:hyperlink>
      <w:r>
        <w:rPr>
          <w:rFonts w:cs="Times New Roman" w:ascii="Times New Roman" w:hAnsi="Times New Roman"/>
          <w:sz w:val="28"/>
          <w:szCs w:val="28"/>
        </w:rPr>
        <w:t xml:space="preserve">, </w:t>
      </w:r>
      <w:hyperlink r:id="rId10">
        <w:r>
          <w:rPr>
            <w:rFonts w:cs="Times New Roman" w:ascii="Times New Roman" w:hAnsi="Times New Roman"/>
            <w:sz w:val="28"/>
            <w:szCs w:val="28"/>
          </w:rPr>
          <w:t>2.3.14</w:t>
        </w:r>
      </w:hyperlink>
      <w:r>
        <w:rPr>
          <w:rFonts w:cs="Times New Roman" w:ascii="Times New Roman" w:hAnsi="Times New Roman"/>
          <w:sz w:val="28"/>
          <w:szCs w:val="28"/>
        </w:rPr>
        <w:t xml:space="preserve">, </w:t>
      </w:r>
      <w:hyperlink r:id="rId11">
        <w:r>
          <w:rPr>
            <w:rFonts w:cs="Times New Roman" w:ascii="Times New Roman" w:hAnsi="Times New Roman"/>
            <w:sz w:val="28"/>
            <w:szCs w:val="28"/>
          </w:rPr>
          <w:t>2.3.15</w:t>
        </w:r>
      </w:hyperlink>
      <w:r>
        <w:rPr>
          <w:rFonts w:cs="Times New Roman" w:ascii="Times New Roman" w:hAnsi="Times New Roman"/>
          <w:sz w:val="28"/>
          <w:szCs w:val="28"/>
        </w:rPr>
        <w:t xml:space="preserve">, </w:t>
      </w:r>
      <w:hyperlink r:id="rId12">
        <w:r>
          <w:rPr>
            <w:rFonts w:cs="Times New Roman" w:ascii="Times New Roman" w:hAnsi="Times New Roman"/>
            <w:sz w:val="28"/>
            <w:szCs w:val="28"/>
          </w:rPr>
          <w:t>2.8.1</w:t>
        </w:r>
      </w:hyperlink>
      <w:r>
        <w:rPr>
          <w:rFonts w:cs="Times New Roman" w:ascii="Times New Roman" w:hAnsi="Times New Roman"/>
          <w:sz w:val="28"/>
          <w:szCs w:val="28"/>
        </w:rPr>
        <w:t xml:space="preserve">, </w:t>
      </w:r>
      <w:hyperlink r:id="rId13">
        <w:r>
          <w:rPr>
            <w:rFonts w:cs="Times New Roman" w:ascii="Times New Roman" w:hAnsi="Times New Roman"/>
            <w:sz w:val="28"/>
            <w:szCs w:val="28"/>
          </w:rPr>
          <w:t>6.2.52</w:t>
        </w:r>
      </w:hyperlink>
      <w:r>
        <w:rPr>
          <w:rFonts w:cs="Times New Roman" w:ascii="Times New Roman" w:hAnsi="Times New Roman"/>
          <w:sz w:val="28"/>
          <w:szCs w:val="28"/>
        </w:rPr>
        <w:t xml:space="preserve">, </w:t>
      </w:r>
      <w:hyperlink r:id="rId14">
        <w:r>
          <w:rPr>
            <w:rFonts w:cs="Times New Roman" w:ascii="Times New Roman" w:hAnsi="Times New Roman"/>
            <w:sz w:val="28"/>
            <w:szCs w:val="28"/>
          </w:rPr>
          <w:t>6.2.62</w:t>
        </w:r>
      </w:hyperlink>
      <w:r>
        <w:rPr>
          <w:rFonts w:cs="Times New Roman" w:ascii="Times New Roman" w:hAnsi="Times New Roman"/>
          <w:sz w:val="28"/>
          <w:szCs w:val="28"/>
        </w:rPr>
        <w:t xml:space="preserve">, </w:t>
      </w:r>
      <w:hyperlink r:id="rId15">
        <w:r>
          <w:rPr>
            <w:rFonts w:cs="Times New Roman" w:ascii="Times New Roman" w:hAnsi="Times New Roman"/>
            <w:sz w:val="28"/>
            <w:szCs w:val="28"/>
          </w:rPr>
          <w:t>9.1.53</w:t>
        </w:r>
      </w:hyperlink>
      <w:r>
        <w:rPr>
          <w:rFonts w:cs="Times New Roman" w:ascii="Times New Roman" w:hAnsi="Times New Roman"/>
          <w:sz w:val="28"/>
          <w:szCs w:val="28"/>
        </w:rPr>
        <w:t xml:space="preserve">, </w:t>
      </w:r>
      <w:hyperlink r:id="rId16">
        <w:r>
          <w:rPr>
            <w:rFonts w:cs="Times New Roman" w:ascii="Times New Roman" w:hAnsi="Times New Roman"/>
            <w:sz w:val="28"/>
            <w:szCs w:val="28"/>
          </w:rPr>
          <w:t>9.2.9</w:t>
        </w:r>
      </w:hyperlink>
      <w:r>
        <w:rPr>
          <w:rFonts w:cs="Times New Roman" w:ascii="Times New Roman" w:hAnsi="Times New Roman"/>
          <w:sz w:val="28"/>
          <w:szCs w:val="28"/>
        </w:rPr>
        <w:t xml:space="preserve">, </w:t>
      </w:r>
      <w:hyperlink r:id="rId17">
        <w:r>
          <w:rPr>
            <w:rFonts w:cs="Times New Roman" w:ascii="Times New Roman" w:hAnsi="Times New Roman"/>
            <w:sz w:val="28"/>
            <w:szCs w:val="28"/>
          </w:rPr>
          <w:t>9.2.10</w:t>
        </w:r>
      </w:hyperlink>
      <w:r>
        <w:rPr>
          <w:rFonts w:cs="Times New Roman" w:ascii="Times New Roman" w:hAnsi="Times New Roman"/>
          <w:sz w:val="28"/>
          <w:szCs w:val="28"/>
        </w:rPr>
        <w:t xml:space="preserve">, </w:t>
      </w:r>
      <w:hyperlink r:id="rId18">
        <w:r>
          <w:rPr>
            <w:rFonts w:cs="Times New Roman" w:ascii="Times New Roman" w:hAnsi="Times New Roman"/>
            <w:sz w:val="28"/>
            <w:szCs w:val="28"/>
          </w:rPr>
          <w:t>9.2.12</w:t>
        </w:r>
      </w:hyperlink>
      <w:r>
        <w:rPr>
          <w:rFonts w:cs="Times New Roman" w:ascii="Times New Roman" w:hAnsi="Times New Roman"/>
          <w:sz w:val="28"/>
          <w:szCs w:val="28"/>
        </w:rPr>
        <w:t xml:space="preserve">, </w:t>
      </w:r>
      <w:hyperlink r:id="rId19">
        <w:r>
          <w:rPr>
            <w:rFonts w:cs="Times New Roman" w:ascii="Times New Roman" w:hAnsi="Times New Roman"/>
            <w:sz w:val="28"/>
            <w:szCs w:val="28"/>
          </w:rPr>
          <w:t>9.2.13</w:t>
        </w:r>
      </w:hyperlink>
      <w:r>
        <w:rPr>
          <w:rFonts w:cs="Times New Roman" w:ascii="Times New Roman" w:hAnsi="Times New Roman"/>
          <w:sz w:val="28"/>
          <w:szCs w:val="28"/>
        </w:rPr>
        <w:t xml:space="preserve">, </w:t>
      </w:r>
      <w:hyperlink r:id="rId20">
        <w:r>
          <w:rPr>
            <w:rFonts w:cs="Times New Roman" w:ascii="Times New Roman" w:hAnsi="Times New Roman"/>
            <w:sz w:val="28"/>
            <w:szCs w:val="28"/>
          </w:rPr>
          <w:t>9.2.20</w:t>
        </w:r>
      </w:hyperlink>
      <w:r>
        <w:rPr>
          <w:rFonts w:cs="Times New Roman" w:ascii="Times New Roman" w:hAnsi="Times New Roman"/>
          <w:sz w:val="28"/>
          <w:szCs w:val="28"/>
        </w:rPr>
        <w:t xml:space="preserve">, </w:t>
      </w:r>
      <w:hyperlink r:id="rId21">
        <w:r>
          <w:rPr>
            <w:rFonts w:cs="Times New Roman" w:ascii="Times New Roman" w:hAnsi="Times New Roman"/>
            <w:sz w:val="28"/>
            <w:szCs w:val="28"/>
          </w:rPr>
          <w:t>9.3.10</w:t>
        </w:r>
      </w:hyperlink>
      <w:r>
        <w:rPr>
          <w:rFonts w:cs="Times New Roman" w:ascii="Times New Roman" w:hAnsi="Times New Roman"/>
          <w:sz w:val="28"/>
          <w:szCs w:val="28"/>
        </w:rPr>
        <w:t xml:space="preserve">, </w:t>
      </w:r>
      <w:hyperlink r:id="rId22">
        <w:r>
          <w:rPr>
            <w:rFonts w:cs="Times New Roman" w:ascii="Times New Roman" w:hAnsi="Times New Roman"/>
            <w:sz w:val="28"/>
            <w:szCs w:val="28"/>
          </w:rPr>
          <w:t>9.3.11</w:t>
        </w:r>
      </w:hyperlink>
      <w:r>
        <w:rPr>
          <w:rFonts w:cs="Times New Roman" w:ascii="Times New Roman" w:hAnsi="Times New Roman"/>
          <w:sz w:val="28"/>
          <w:szCs w:val="28"/>
        </w:rPr>
        <w:t xml:space="preserve">, </w:t>
      </w:r>
      <w:hyperlink r:id="rId23">
        <w:r>
          <w:rPr>
            <w:rFonts w:cs="Times New Roman" w:ascii="Times New Roman" w:hAnsi="Times New Roman"/>
            <w:sz w:val="28"/>
            <w:szCs w:val="28"/>
          </w:rPr>
          <w:t>9.3.19</w:t>
        </w:r>
      </w:hyperlink>
      <w:r>
        <w:rPr>
          <w:rFonts w:cs="Times New Roman" w:ascii="Times New Roman" w:hAnsi="Times New Roman"/>
          <w:sz w:val="28"/>
          <w:szCs w:val="28"/>
        </w:rPr>
        <w:t xml:space="preserve">, </w:t>
      </w:r>
      <w:hyperlink r:id="rId24">
        <w:r>
          <w:rPr>
            <w:rFonts w:cs="Times New Roman" w:ascii="Times New Roman" w:hAnsi="Times New Roman"/>
            <w:sz w:val="28"/>
            <w:szCs w:val="28"/>
          </w:rPr>
          <w:t>9.3.24</w:t>
        </w:r>
      </w:hyperlink>
      <w:r>
        <w:rPr>
          <w:rFonts w:cs="Times New Roman" w:ascii="Times New Roman" w:hAnsi="Times New Roman"/>
          <w:sz w:val="28"/>
          <w:szCs w:val="28"/>
        </w:rPr>
        <w:t xml:space="preserve">, </w:t>
      </w:r>
      <w:hyperlink r:id="rId25">
        <w:r>
          <w:rPr>
            <w:rFonts w:cs="Times New Roman" w:ascii="Times New Roman" w:hAnsi="Times New Roman"/>
            <w:sz w:val="28"/>
            <w:szCs w:val="28"/>
          </w:rPr>
          <w:t>9.3.25</w:t>
        </w:r>
      </w:hyperlink>
      <w:r>
        <w:rPr>
          <w:rFonts w:cs="Times New Roman" w:ascii="Times New Roman" w:hAnsi="Times New Roman"/>
          <w:sz w:val="28"/>
          <w:szCs w:val="28"/>
        </w:rPr>
        <w:t xml:space="preserve">, </w:t>
      </w:r>
      <w:hyperlink r:id="rId26">
        <w:r>
          <w:rPr>
            <w:rFonts w:cs="Times New Roman" w:ascii="Times New Roman" w:hAnsi="Times New Roman"/>
            <w:sz w:val="28"/>
            <w:szCs w:val="28"/>
          </w:rPr>
          <w:t>10.1.9</w:t>
        </w:r>
      </w:hyperlink>
      <w:r>
        <w:rPr>
          <w:rFonts w:cs="Times New Roman" w:ascii="Times New Roman" w:hAnsi="Times New Roman"/>
          <w:sz w:val="28"/>
          <w:szCs w:val="28"/>
        </w:rPr>
        <w:t xml:space="preserve">, </w:t>
      </w:r>
      <w:hyperlink r:id="rId27">
        <w:r>
          <w:rPr>
            <w:rFonts w:cs="Times New Roman" w:ascii="Times New Roman" w:hAnsi="Times New Roman"/>
            <w:sz w:val="28"/>
            <w:szCs w:val="28"/>
          </w:rPr>
          <w:t>11.1</w:t>
        </w:r>
      </w:hyperlink>
      <w:r>
        <w:rPr>
          <w:rFonts w:cs="Times New Roman" w:ascii="Times New Roman" w:hAnsi="Times New Roman"/>
          <w:sz w:val="28"/>
          <w:szCs w:val="28"/>
        </w:rPr>
        <w:t xml:space="preserve">, </w:t>
      </w:r>
      <w:hyperlink r:id="rId28">
        <w:r>
          <w:rPr>
            <w:rFonts w:cs="Times New Roman" w:ascii="Times New Roman" w:hAnsi="Times New Roman"/>
            <w:sz w:val="28"/>
            <w:szCs w:val="28"/>
          </w:rPr>
          <w:t>11.2</w:t>
        </w:r>
      </w:hyperlink>
      <w:r>
        <w:rPr>
          <w:rFonts w:cs="Times New Roman" w:ascii="Times New Roman" w:hAnsi="Times New Roman"/>
          <w:sz w:val="28"/>
          <w:szCs w:val="28"/>
        </w:rPr>
        <w:t xml:space="preserve">, </w:t>
      </w:r>
      <w:hyperlink r:id="rId29">
        <w:r>
          <w:rPr>
            <w:rFonts w:cs="Times New Roman" w:ascii="Times New Roman" w:hAnsi="Times New Roman"/>
            <w:sz w:val="28"/>
            <w:szCs w:val="28"/>
          </w:rPr>
          <w:t>11.5</w:t>
        </w:r>
      </w:hyperlink>
      <w:r>
        <w:rPr>
          <w:rFonts w:cs="Times New Roman" w:ascii="Times New Roman" w:hAnsi="Times New Roman"/>
          <w:sz w:val="28"/>
          <w:szCs w:val="28"/>
        </w:rPr>
        <w:t xml:space="preserve"> Правил технической эксплуатации тепловых энергоустановок, утвержденных приказом Минэнерго РФ от 24.03.2003 № 115 (далее – Правила №115), </w:t>
      </w:r>
      <w:hyperlink r:id="rId30">
        <w:r>
          <w:rPr>
            <w:rFonts w:cs="Times New Roman" w:ascii="Times New Roman" w:hAnsi="Times New Roman"/>
            <w:sz w:val="28"/>
            <w:szCs w:val="28"/>
          </w:rPr>
          <w:t>пунктов 394</w:t>
        </w:r>
      </w:hyperlink>
      <w:r>
        <w:rPr>
          <w:rFonts w:cs="Times New Roman" w:ascii="Times New Roman" w:hAnsi="Times New Roman"/>
          <w:sz w:val="28"/>
          <w:szCs w:val="28"/>
        </w:rPr>
        <w:t xml:space="preserve">, </w:t>
      </w:r>
      <w:hyperlink r:id="rId31">
        <w:r>
          <w:rPr>
            <w:rFonts w:cs="Times New Roman" w:ascii="Times New Roman" w:hAnsi="Times New Roman"/>
            <w:sz w:val="28"/>
            <w:szCs w:val="28"/>
          </w:rPr>
          <w:t>396</w:t>
        </w:r>
      </w:hyperlink>
      <w:r>
        <w:rPr>
          <w:rFonts w:cs="Times New Roman" w:ascii="Times New Roman" w:hAnsi="Times New Roman"/>
          <w:sz w:val="28"/>
          <w:szCs w:val="28"/>
        </w:rPr>
        <w:t xml:space="preserve"> - </w:t>
      </w:r>
      <w:hyperlink r:id="rId32">
        <w:r>
          <w:rPr>
            <w:rFonts w:cs="Times New Roman" w:ascii="Times New Roman" w:hAnsi="Times New Roman"/>
            <w:sz w:val="28"/>
            <w:szCs w:val="28"/>
          </w:rPr>
          <w:t>399</w:t>
        </w:r>
      </w:hyperlink>
      <w:r>
        <w:rPr>
          <w:rFonts w:cs="Times New Roman" w:ascii="Times New Roman" w:hAnsi="Times New Roman"/>
          <w:sz w:val="28"/>
          <w:szCs w:val="28"/>
        </w:rPr>
        <w:t xml:space="preserve">, </w:t>
      </w:r>
      <w:hyperlink r:id="rId33">
        <w:r>
          <w:rPr>
            <w:rFonts w:cs="Times New Roman" w:ascii="Times New Roman" w:hAnsi="Times New Roman"/>
            <w:sz w:val="28"/>
            <w:szCs w:val="28"/>
          </w:rPr>
          <w:t>403</w:t>
        </w:r>
      </w:hyperlink>
      <w:r>
        <w:rPr>
          <w:rFonts w:cs="Times New Roman" w:ascii="Times New Roman" w:hAnsi="Times New Roman"/>
          <w:sz w:val="28"/>
          <w:szCs w:val="28"/>
        </w:rPr>
        <w:t xml:space="preserve"> Правил промышленной безопасности.</w:t>
      </w:r>
    </w:p>
    <w:p>
      <w:pPr>
        <w:pStyle w:val="ConsPlusNormal"/>
        <w:ind w:firstLine="540"/>
        <w:jc w:val="both"/>
        <w:rPr>
          <w:rFonts w:ascii="Times New Roman" w:hAnsi="Times New Roman" w:cs="Times New Roman"/>
          <w:sz w:val="28"/>
          <w:szCs w:val="28"/>
        </w:rPr>
      </w:pPr>
      <w:bookmarkStart w:id="5" w:name="P156"/>
      <w:bookmarkEnd w:id="5"/>
      <w:r>
        <w:rPr>
          <w:rFonts w:cs="Times New Roman" w:ascii="Times New Roman" w:hAnsi="Times New Roman"/>
          <w:sz w:val="28"/>
          <w:szCs w:val="28"/>
        </w:rPr>
        <w:t xml:space="preserve">2.8.4 Обеспечить выполнение плана подготовки к отопительному периоду, составленного в соответствии с </w:t>
      </w:r>
      <w:hyperlink r:id="rId34">
        <w:r>
          <w:rPr>
            <w:rFonts w:cs="Times New Roman" w:ascii="Times New Roman" w:hAnsi="Times New Roman"/>
            <w:sz w:val="28"/>
            <w:szCs w:val="28"/>
          </w:rPr>
          <w:t>пунктом 11.1</w:t>
        </w:r>
      </w:hyperlink>
      <w:r>
        <w:rPr>
          <w:rFonts w:cs="Times New Roman" w:ascii="Times New Roman" w:hAnsi="Times New Roman"/>
          <w:sz w:val="28"/>
          <w:szCs w:val="28"/>
        </w:rPr>
        <w:t xml:space="preserve"> Правил № 115, подготовить и представить комиссии документы, подтверждающие выполнение требований, установленных </w:t>
      </w:r>
      <w:hyperlink w:anchor="P149">
        <w:r>
          <w:rPr>
            <w:rFonts w:cs="Times New Roman" w:ascii="Times New Roman" w:hAnsi="Times New Roman"/>
            <w:sz w:val="28"/>
            <w:szCs w:val="28"/>
          </w:rPr>
          <w:t>подпунктами 11.1</w:t>
        </w:r>
      </w:hyperlink>
      <w:r>
        <w:rPr>
          <w:rFonts w:cs="Times New Roman" w:ascii="Times New Roman" w:hAnsi="Times New Roman"/>
          <w:sz w:val="28"/>
          <w:szCs w:val="28"/>
        </w:rPr>
        <w:t xml:space="preserve"> - </w:t>
      </w:r>
      <w:hyperlink w:anchor="P155">
        <w:r>
          <w:rPr>
            <w:rFonts w:cs="Times New Roman" w:ascii="Times New Roman" w:hAnsi="Times New Roman"/>
            <w:sz w:val="28"/>
            <w:szCs w:val="28"/>
          </w:rPr>
          <w:t>11.4 пункта 11</w:t>
        </w:r>
      </w:hyperlink>
      <w:r>
        <w:rPr>
          <w:rFonts w:cs="Times New Roman" w:ascii="Times New Roman" w:hAnsi="Times New Roman"/>
          <w:sz w:val="28"/>
          <w:szCs w:val="28"/>
        </w:rPr>
        <w:t xml:space="preserve"> Правил обеспечения готовности к отопительному периоду:</w:t>
      </w:r>
    </w:p>
    <w:p>
      <w:pPr>
        <w:pStyle w:val="ConsPlusNormal"/>
        <w:ind w:firstLine="540"/>
        <w:jc w:val="both"/>
        <w:rPr>
          <w:rFonts w:ascii="Times New Roman" w:hAnsi="Times New Roman" w:cs="Times New Roman"/>
          <w:sz w:val="28"/>
          <w:szCs w:val="28"/>
        </w:rPr>
      </w:pPr>
      <w:bookmarkStart w:id="6" w:name="P157"/>
      <w:bookmarkEnd w:id="6"/>
      <w:r>
        <w:rPr>
          <w:rFonts w:cs="Times New Roman" w:ascii="Times New Roman" w:hAnsi="Times New Roman"/>
          <w:sz w:val="28"/>
          <w:szCs w:val="28"/>
        </w:rPr>
        <w:t xml:space="preserve">2.8.4.1.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35">
        <w:r>
          <w:rPr>
            <w:rFonts w:cs="Times New Roman" w:ascii="Times New Roman" w:hAnsi="Times New Roman"/>
            <w:sz w:val="28"/>
            <w:szCs w:val="28"/>
          </w:rPr>
          <w:t>пункта 9.2.9</w:t>
        </w:r>
      </w:hyperlink>
      <w:r>
        <w:rPr>
          <w:rFonts w:cs="Times New Roman" w:ascii="Times New Roman" w:hAnsi="Times New Roman"/>
          <w:sz w:val="28"/>
          <w:szCs w:val="28"/>
        </w:rPr>
        <w:t xml:space="preserve"> Правил № 115.</w:t>
      </w:r>
    </w:p>
    <w:p>
      <w:pPr>
        <w:pStyle w:val="ConsPlusNormal"/>
        <w:ind w:firstLine="540"/>
        <w:jc w:val="both"/>
        <w:rPr>
          <w:rFonts w:ascii="Times New Roman" w:hAnsi="Times New Roman" w:cs="Times New Roman"/>
          <w:sz w:val="28"/>
          <w:szCs w:val="28"/>
        </w:rPr>
      </w:pPr>
      <w:bookmarkStart w:id="7" w:name="P158"/>
      <w:bookmarkEnd w:id="7"/>
      <w:r>
        <w:rPr>
          <w:rFonts w:cs="Times New Roman" w:ascii="Times New Roman" w:hAnsi="Times New Roman"/>
          <w:sz w:val="28"/>
          <w:szCs w:val="28"/>
        </w:rPr>
        <w:t xml:space="preserve">2.8.4.2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36">
        <w:r>
          <w:rPr>
            <w:rFonts w:cs="Times New Roman" w:ascii="Times New Roman" w:hAnsi="Times New Roman"/>
            <w:sz w:val="28"/>
            <w:szCs w:val="28"/>
          </w:rPr>
          <w:t>пунктом 9.3.25</w:t>
        </w:r>
      </w:hyperlink>
      <w:r>
        <w:rPr>
          <w:rFonts w:cs="Times New Roman" w:ascii="Times New Roman" w:hAnsi="Times New Roman"/>
          <w:sz w:val="28"/>
          <w:szCs w:val="28"/>
        </w:rPr>
        <w:t xml:space="preserve"> Правил № 115.</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w:t>
      </w:r>
      <w:hyperlink r:id="rId37">
        <w:r>
          <w:rPr>
            <w:rFonts w:cs="Times New Roman" w:ascii="Times New Roman" w:hAnsi="Times New Roman"/>
            <w:sz w:val="28"/>
            <w:szCs w:val="28"/>
          </w:rPr>
          <w:t>пунктами 9.5.1</w:t>
        </w:r>
      </w:hyperlink>
      <w:r>
        <w:rPr>
          <w:rFonts w:cs="Times New Roman" w:ascii="Times New Roman" w:hAnsi="Times New Roman"/>
          <w:sz w:val="28"/>
          <w:szCs w:val="28"/>
        </w:rPr>
        <w:t xml:space="preserve"> - </w:t>
      </w:r>
      <w:hyperlink r:id="rId38">
        <w:r>
          <w:rPr>
            <w:rFonts w:cs="Times New Roman" w:ascii="Times New Roman" w:hAnsi="Times New Roman"/>
            <w:sz w:val="28"/>
            <w:szCs w:val="28"/>
          </w:rPr>
          <w:t>9.5.3</w:t>
        </w:r>
      </w:hyperlink>
      <w:r>
        <w:rPr>
          <w:rFonts w:cs="Times New Roman" w:ascii="Times New Roman" w:hAnsi="Times New Roman"/>
          <w:sz w:val="28"/>
          <w:szCs w:val="28"/>
        </w:rPr>
        <w:t xml:space="preserve"> Правил № 115 (если их наличие предусмотрено проектной документацией).</w:t>
      </w:r>
    </w:p>
    <w:p>
      <w:pPr>
        <w:pStyle w:val="ConsPlusNormal"/>
        <w:ind w:firstLine="540"/>
        <w:jc w:val="both"/>
        <w:rPr>
          <w:rFonts w:ascii="Times New Roman" w:hAnsi="Times New Roman" w:cs="Times New Roman"/>
          <w:sz w:val="28"/>
          <w:szCs w:val="28"/>
        </w:rPr>
      </w:pPr>
      <w:bookmarkStart w:id="8" w:name="P161"/>
      <w:bookmarkEnd w:id="8"/>
      <w:r>
        <w:rPr>
          <w:rFonts w:cs="Times New Roman" w:ascii="Times New Roman" w:hAnsi="Times New Roman"/>
          <w:sz w:val="28"/>
          <w:szCs w:val="28"/>
        </w:rPr>
        <w:t>2.8.4.3 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p>
      <w:pPr>
        <w:pStyle w:val="ConsPlusNormal"/>
        <w:ind w:firstLine="540"/>
        <w:jc w:val="both"/>
        <w:rPr>
          <w:rFonts w:ascii="Times New Roman" w:hAnsi="Times New Roman" w:cs="Times New Roman"/>
          <w:sz w:val="28"/>
          <w:szCs w:val="28"/>
        </w:rPr>
      </w:pPr>
      <w:bookmarkStart w:id="9" w:name="P162"/>
      <w:bookmarkEnd w:id="9"/>
      <w:r>
        <w:rPr>
          <w:rFonts w:cs="Times New Roman" w:ascii="Times New Roman" w:hAnsi="Times New Roman"/>
          <w:sz w:val="28"/>
          <w:szCs w:val="28"/>
        </w:rPr>
        <w:t xml:space="preserve">2.8.4.4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w:t>
      </w:r>
      <w:hyperlink r:id="rId39">
        <w:r>
          <w:rPr>
            <w:rFonts w:cs="Times New Roman" w:ascii="Times New Roman" w:hAnsi="Times New Roman"/>
            <w:sz w:val="28"/>
            <w:szCs w:val="28"/>
          </w:rPr>
          <w:t>пунктами 2.1.2</w:t>
        </w:r>
      </w:hyperlink>
      <w:r>
        <w:rPr>
          <w:rFonts w:cs="Times New Roman" w:ascii="Times New Roman" w:hAnsi="Times New Roman"/>
          <w:sz w:val="28"/>
          <w:szCs w:val="28"/>
        </w:rPr>
        <w:t xml:space="preserve">, </w:t>
      </w:r>
      <w:hyperlink r:id="rId40">
        <w:r>
          <w:rPr>
            <w:rFonts w:cs="Times New Roman" w:ascii="Times New Roman" w:hAnsi="Times New Roman"/>
            <w:sz w:val="28"/>
            <w:szCs w:val="28"/>
          </w:rPr>
          <w:t>2.1.3</w:t>
        </w:r>
      </w:hyperlink>
      <w:r>
        <w:rPr>
          <w:rFonts w:cs="Times New Roman" w:ascii="Times New Roman" w:hAnsi="Times New Roman"/>
          <w:sz w:val="28"/>
          <w:szCs w:val="28"/>
        </w:rPr>
        <w:t xml:space="preserve"> Правил №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w:t>
      </w:r>
      <w:hyperlink r:id="rId41">
        <w:r>
          <w:rPr>
            <w:rFonts w:cs="Times New Roman" w:ascii="Times New Roman" w:hAnsi="Times New Roman"/>
            <w:sz w:val="28"/>
            <w:szCs w:val="28"/>
          </w:rPr>
          <w:t>пунктом 228</w:t>
        </w:r>
      </w:hyperlink>
      <w:r>
        <w:rPr>
          <w:rFonts w:cs="Times New Roman" w:ascii="Times New Roman" w:hAnsi="Times New Roman"/>
          <w:sz w:val="28"/>
          <w:szCs w:val="28"/>
        </w:rPr>
        <w:t xml:space="preserve"> Правил промышленной безопасности.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bookmarkStart w:id="10" w:name="P165"/>
      <w:bookmarkEnd w:id="10"/>
      <w:r>
        <w:rPr>
          <w:rFonts w:cs="Times New Roman" w:ascii="Times New Roman" w:hAnsi="Times New Roman"/>
          <w:sz w:val="28"/>
          <w:szCs w:val="28"/>
        </w:rPr>
        <w:t xml:space="preserve">2.8.4.5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42">
        <w:r>
          <w:rPr>
            <w:rFonts w:cs="Times New Roman" w:ascii="Times New Roman" w:hAnsi="Times New Roman"/>
            <w:sz w:val="28"/>
            <w:szCs w:val="28"/>
          </w:rPr>
          <w:t>пунктов 9.8</w:t>
        </w:r>
      </w:hyperlink>
      <w:r>
        <w:rPr>
          <w:rFonts w:cs="Times New Roman" w:ascii="Times New Roman" w:hAnsi="Times New Roman"/>
          <w:sz w:val="28"/>
          <w:szCs w:val="28"/>
        </w:rPr>
        <w:t xml:space="preserve">, </w:t>
      </w:r>
      <w:hyperlink r:id="rId43">
        <w:r>
          <w:rPr>
            <w:rFonts w:cs="Times New Roman" w:ascii="Times New Roman" w:hAnsi="Times New Roman"/>
            <w:sz w:val="28"/>
            <w:szCs w:val="28"/>
          </w:rPr>
          <w:t>9.1.59</w:t>
        </w:r>
      </w:hyperlink>
      <w:r>
        <w:rPr>
          <w:rFonts w:cs="Times New Roman" w:ascii="Times New Roman" w:hAnsi="Times New Roman"/>
          <w:sz w:val="28"/>
          <w:szCs w:val="28"/>
        </w:rPr>
        <w:t xml:space="preserve"> Правил № 115 и наличие записей о результатах проведенных испытаний в паспорте теплового пункта и (или) теплопотребляющих установок.</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Потребители тепловой энергии, управляющие организации, эксплуатирующие организации обязаны 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теплопотребляющим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pPr>
        <w:pStyle w:val="ConsPlusNormal"/>
        <w:ind w:firstLine="540"/>
        <w:jc w:val="both"/>
        <w:rPr>
          <w:rFonts w:ascii="Times New Roman" w:hAnsi="Times New Roman" w:cs="Times New Roman"/>
          <w:sz w:val="28"/>
          <w:szCs w:val="28"/>
        </w:rPr>
      </w:pPr>
      <w:bookmarkStart w:id="11" w:name="P167"/>
      <w:bookmarkEnd w:id="11"/>
      <w:r>
        <w:rPr>
          <w:rFonts w:cs="Times New Roman" w:ascii="Times New Roman" w:hAnsi="Times New Roman"/>
          <w:sz w:val="28"/>
          <w:szCs w:val="28"/>
        </w:rPr>
        <w:t xml:space="preserve">2.8.4.6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44">
        <w:r>
          <w:rPr>
            <w:rFonts w:cs="Times New Roman" w:ascii="Times New Roman" w:hAnsi="Times New Roman"/>
            <w:sz w:val="28"/>
            <w:szCs w:val="28"/>
          </w:rPr>
          <w:t>пунктом 278</w:t>
        </w:r>
      </w:hyperlink>
      <w:r>
        <w:rPr>
          <w:rFonts w:cs="Times New Roman" w:ascii="Times New Roman" w:hAnsi="Times New Roman"/>
          <w:sz w:val="28"/>
          <w:szCs w:val="28"/>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45">
        <w:r>
          <w:rPr>
            <w:rFonts w:cs="Times New Roman" w:ascii="Times New Roman" w:hAnsi="Times New Roman"/>
            <w:sz w:val="28"/>
            <w:szCs w:val="28"/>
          </w:rPr>
          <w:t>пунктом 2.8.2</w:t>
        </w:r>
      </w:hyperlink>
      <w:r>
        <w:rPr>
          <w:rFonts w:cs="Times New Roman" w:ascii="Times New Roman" w:hAnsi="Times New Roman"/>
          <w:sz w:val="28"/>
          <w:szCs w:val="28"/>
        </w:rPr>
        <w:t xml:space="preserve"> Правил № 115.</w:t>
      </w:r>
    </w:p>
    <w:p>
      <w:pPr>
        <w:pStyle w:val="ConsPlusNormal"/>
        <w:ind w:firstLine="540"/>
        <w:jc w:val="both"/>
        <w:rPr>
          <w:rFonts w:ascii="Times New Roman" w:hAnsi="Times New Roman" w:cs="Times New Roman"/>
          <w:sz w:val="28"/>
          <w:szCs w:val="28"/>
        </w:rPr>
      </w:pPr>
      <w:bookmarkStart w:id="12" w:name="P168"/>
      <w:bookmarkEnd w:id="12"/>
      <w:r>
        <w:rPr>
          <w:rFonts w:cs="Times New Roman" w:ascii="Times New Roman" w:hAnsi="Times New Roman"/>
          <w:sz w:val="28"/>
          <w:szCs w:val="28"/>
        </w:rPr>
        <w:t xml:space="preserve">2.8.4.7. Утвержденные в соответствии с требованиями </w:t>
      </w:r>
      <w:hyperlink r:id="rId46">
        <w:r>
          <w:rPr>
            <w:rFonts w:cs="Times New Roman" w:ascii="Times New Roman" w:hAnsi="Times New Roman"/>
            <w:sz w:val="28"/>
            <w:szCs w:val="28"/>
          </w:rPr>
          <w:t>пункта 2.2</w:t>
        </w:r>
      </w:hyperlink>
      <w:r>
        <w:rPr>
          <w:rFonts w:cs="Times New Roman" w:ascii="Times New Roman" w:hAnsi="Times New Roman"/>
          <w:sz w:val="28"/>
          <w:szCs w:val="28"/>
        </w:rPr>
        <w:t xml:space="preserve"> Правил № 115 эксплуатационные инструкции объектов теплоснабжения и (или) производственные инструкции, разработанные в соответствии с </w:t>
      </w:r>
      <w:hyperlink r:id="rId47">
        <w:r>
          <w:rPr>
            <w:rFonts w:cs="Times New Roman" w:ascii="Times New Roman" w:hAnsi="Times New Roman"/>
            <w:sz w:val="28"/>
            <w:szCs w:val="28"/>
          </w:rPr>
          <w:t>пунктом 278</w:t>
        </w:r>
      </w:hyperlink>
      <w:r>
        <w:rPr>
          <w:rFonts w:cs="Times New Roman" w:ascii="Times New Roman" w:hAnsi="Times New Roman"/>
          <w:sz w:val="28"/>
          <w:szCs w:val="28"/>
        </w:rPr>
        <w:t xml:space="preserve"> Правил промышленной безопасности.</w:t>
      </w:r>
    </w:p>
    <w:p>
      <w:pPr>
        <w:pStyle w:val="ConsPlusNormal"/>
        <w:ind w:firstLine="540"/>
        <w:jc w:val="both"/>
        <w:rPr>
          <w:rFonts w:ascii="Times New Roman" w:hAnsi="Times New Roman" w:cs="Times New Roman"/>
          <w:sz w:val="28"/>
          <w:szCs w:val="28"/>
        </w:rPr>
      </w:pPr>
      <w:bookmarkStart w:id="13" w:name="P169"/>
      <w:bookmarkEnd w:id="13"/>
      <w:r>
        <w:rPr>
          <w:rFonts w:cs="Times New Roman" w:ascii="Times New Roman" w:hAnsi="Times New Roman"/>
          <w:sz w:val="28"/>
          <w:szCs w:val="28"/>
        </w:rPr>
        <w:t xml:space="preserve">2.8.4.8. Паспорта тепловых пунктов или копии паспортов тепловых пунктов в соответствии с </w:t>
      </w:r>
      <w:hyperlink r:id="rId48">
        <w:r>
          <w:rPr>
            <w:rFonts w:cs="Times New Roman" w:ascii="Times New Roman" w:hAnsi="Times New Roman"/>
            <w:sz w:val="28"/>
            <w:szCs w:val="28"/>
          </w:rPr>
          <w:t>пунктом 9.1.5</w:t>
        </w:r>
      </w:hyperlink>
      <w:r>
        <w:rPr>
          <w:rFonts w:cs="Times New Roman" w:ascii="Times New Roman" w:hAnsi="Times New Roman"/>
          <w:sz w:val="28"/>
          <w:szCs w:val="28"/>
        </w:rPr>
        <w:t xml:space="preserve"> Правил № 115,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p>
      <w:pPr>
        <w:pStyle w:val="ConsPlusNormal"/>
        <w:ind w:firstLine="540"/>
        <w:jc w:val="both"/>
        <w:rPr>
          <w:rFonts w:ascii="Times New Roman" w:hAnsi="Times New Roman" w:cs="Times New Roman"/>
          <w:sz w:val="28"/>
          <w:szCs w:val="28"/>
        </w:rPr>
      </w:pPr>
      <w:bookmarkStart w:id="14" w:name="P170"/>
      <w:bookmarkEnd w:id="14"/>
      <w:r>
        <w:rPr>
          <w:rFonts w:cs="Times New Roman" w:ascii="Times New Roman" w:hAnsi="Times New Roman"/>
          <w:sz w:val="28"/>
          <w:szCs w:val="28"/>
        </w:rPr>
        <w:t>2.8.4.9.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w:t>
      </w:r>
    </w:p>
    <w:p>
      <w:pPr>
        <w:pStyle w:val="ConsPlusNormal"/>
        <w:ind w:firstLine="540"/>
        <w:jc w:val="both"/>
        <w:rPr>
          <w:rFonts w:ascii="Times New Roman" w:hAnsi="Times New Roman" w:cs="Times New Roman"/>
          <w:sz w:val="28"/>
          <w:szCs w:val="28"/>
        </w:rPr>
      </w:pPr>
      <w:bookmarkStart w:id="15" w:name="P171"/>
      <w:bookmarkEnd w:id="15"/>
      <w:r>
        <w:rPr>
          <w:rFonts w:cs="Times New Roman" w:ascii="Times New Roman" w:hAnsi="Times New Roman"/>
          <w:sz w:val="28"/>
          <w:szCs w:val="28"/>
        </w:rPr>
        <w:t xml:space="preserve">2.8.4.10.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49">
        <w:r>
          <w:rPr>
            <w:rFonts w:cs="Times New Roman" w:ascii="Times New Roman" w:hAnsi="Times New Roman"/>
            <w:sz w:val="28"/>
            <w:szCs w:val="28"/>
          </w:rPr>
          <w:t>пунктами 9.3.22</w:t>
        </w:r>
      </w:hyperlink>
      <w:r>
        <w:rPr>
          <w:rFonts w:cs="Times New Roman" w:ascii="Times New Roman" w:hAnsi="Times New Roman"/>
          <w:sz w:val="28"/>
          <w:szCs w:val="28"/>
        </w:rPr>
        <w:t xml:space="preserve">, </w:t>
      </w:r>
      <w:hyperlink r:id="rId50">
        <w:r>
          <w:rPr>
            <w:rFonts w:cs="Times New Roman" w:ascii="Times New Roman" w:hAnsi="Times New Roman"/>
            <w:sz w:val="28"/>
            <w:szCs w:val="28"/>
          </w:rPr>
          <w:t>9.4.18</w:t>
        </w:r>
      </w:hyperlink>
      <w:r>
        <w:rPr>
          <w:rFonts w:cs="Times New Roman" w:ascii="Times New Roman" w:hAnsi="Times New Roman"/>
          <w:sz w:val="28"/>
          <w:szCs w:val="28"/>
        </w:rPr>
        <w:t xml:space="preserve"> Правил № 115.</w:t>
      </w:r>
    </w:p>
    <w:p>
      <w:pPr>
        <w:pStyle w:val="ConsPlusNormal"/>
        <w:ind w:firstLine="540"/>
        <w:jc w:val="both"/>
        <w:rPr>
          <w:rFonts w:ascii="Times New Roman" w:hAnsi="Times New Roman" w:cs="Times New Roman"/>
          <w:sz w:val="28"/>
          <w:szCs w:val="28"/>
        </w:rPr>
      </w:pPr>
      <w:bookmarkStart w:id="16" w:name="P172"/>
      <w:bookmarkEnd w:id="16"/>
      <w:r>
        <w:rPr>
          <w:rFonts w:cs="Times New Roman" w:ascii="Times New Roman" w:hAnsi="Times New Roman"/>
          <w:sz w:val="28"/>
          <w:szCs w:val="28"/>
        </w:rPr>
        <w:t>2.8.4.11.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Осмотры проводятся представителем единой теплоснабжающей организации, в зону (зоны) деятельности которой входит система (системы) теплоснабжения, в присутствии представителей потребителей тепловой энергии, управляющих организаций, эксплуатирующих организаций.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Потребители тепловой энергии, управляющие организации, эксплуатирующие организации обязаны обеспечить беспрепятственный доступ уполномоченных представителей единой теплоснабжающей организации к объектам теплоснабжения и теплопотребляющим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При отказе потребителей тепловой энергии, управляющих организаций, эксплуатирующих организаций от проведения осмотра, принадлежащих им объектов теплоснабжения и теплопотребляющих установок, требование настоящего пункта считается невыполненным.</w:t>
      </w:r>
    </w:p>
    <w:p>
      <w:pPr>
        <w:pStyle w:val="ConsPlusNormal"/>
        <w:ind w:firstLine="540"/>
        <w:jc w:val="both"/>
        <w:rPr>
          <w:rFonts w:ascii="Times New Roman" w:hAnsi="Times New Roman" w:cs="Times New Roman"/>
          <w:sz w:val="28"/>
          <w:szCs w:val="28"/>
        </w:rPr>
      </w:pPr>
      <w:bookmarkStart w:id="17" w:name="P176"/>
      <w:bookmarkEnd w:id="17"/>
      <w:r>
        <w:rPr>
          <w:rFonts w:cs="Times New Roman" w:ascii="Times New Roman" w:hAnsi="Times New Roman"/>
          <w:sz w:val="28"/>
          <w:szCs w:val="28"/>
        </w:rPr>
        <w:t xml:space="preserve">2.8.4.12. Копии заключенных договоров теплоснабжения и (или) договоров оказания услуг по поддержанию резервной тепловой мощности в соответствии с </w:t>
      </w:r>
      <w:hyperlink r:id="rId51">
        <w:r>
          <w:rPr>
            <w:rFonts w:cs="Times New Roman" w:ascii="Times New Roman" w:hAnsi="Times New Roman"/>
            <w:sz w:val="28"/>
            <w:szCs w:val="28"/>
          </w:rPr>
          <w:t>Правилами</w:t>
        </w:r>
      </w:hyperlink>
      <w:r>
        <w:rPr>
          <w:rFonts w:cs="Times New Roman" w:ascii="Times New Roman" w:hAnsi="Times New Roman"/>
          <w:sz w:val="28"/>
          <w:szCs w:val="28"/>
        </w:rPr>
        <w:t xml:space="preserve"> № 808.</w:t>
      </w:r>
    </w:p>
    <w:p>
      <w:pPr>
        <w:pStyle w:val="ConsPlusNormal"/>
        <w:ind w:firstLine="540"/>
        <w:jc w:val="both"/>
        <w:rPr>
          <w:rFonts w:ascii="Times New Roman" w:hAnsi="Times New Roman" w:cs="Times New Roman"/>
          <w:sz w:val="28"/>
          <w:szCs w:val="28"/>
        </w:rPr>
      </w:pPr>
      <w:bookmarkStart w:id="18" w:name="P177"/>
      <w:bookmarkEnd w:id="18"/>
      <w:r>
        <w:rPr>
          <w:rFonts w:cs="Times New Roman" w:ascii="Times New Roman" w:hAnsi="Times New Roman"/>
          <w:sz w:val="28"/>
          <w:szCs w:val="28"/>
        </w:rPr>
        <w:t>2.8.4.13.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pPr>
        <w:pStyle w:val="ConsPlusNormal"/>
        <w:ind w:firstLine="540"/>
        <w:jc w:val="both"/>
        <w:rPr>
          <w:rFonts w:ascii="Times New Roman" w:hAnsi="Times New Roman" w:cs="Times New Roman"/>
          <w:sz w:val="28"/>
          <w:szCs w:val="28"/>
        </w:rPr>
      </w:pPr>
      <w:bookmarkStart w:id="19" w:name="P178"/>
      <w:bookmarkEnd w:id="19"/>
      <w:r>
        <w:rPr>
          <w:rFonts w:cs="Times New Roman" w:ascii="Times New Roman" w:hAnsi="Times New Roman"/>
          <w:sz w:val="28"/>
          <w:szCs w:val="28"/>
        </w:rPr>
        <w:t xml:space="preserve">2.8.4.14. Акты периодической проверки узла учета, составленные в соответствии с </w:t>
      </w:r>
      <w:hyperlink r:id="rId52">
        <w:r>
          <w:rPr>
            <w:rFonts w:cs="Times New Roman" w:ascii="Times New Roman" w:hAnsi="Times New Roman"/>
            <w:sz w:val="28"/>
            <w:szCs w:val="28"/>
          </w:rPr>
          <w:t>пунктом 73</w:t>
        </w:r>
      </w:hyperlink>
      <w:r>
        <w:rPr>
          <w:rFonts w:cs="Times New Roman" w:ascii="Times New Roman" w:hAnsi="Times New Roman"/>
          <w:sz w:val="28"/>
          <w:szCs w:val="28"/>
        </w:rPr>
        <w:t xml:space="preserve"> Правил коммерческого учета, акты разграничения балансовой принадлежности.</w:t>
      </w:r>
    </w:p>
    <w:p>
      <w:pPr>
        <w:pStyle w:val="ConsPlusNormal"/>
        <w:ind w:firstLine="540"/>
        <w:jc w:val="both"/>
        <w:rPr>
          <w:rFonts w:ascii="Times New Roman" w:hAnsi="Times New Roman" w:cs="Times New Roman"/>
          <w:sz w:val="28"/>
          <w:szCs w:val="28"/>
        </w:rPr>
      </w:pPr>
      <w:bookmarkStart w:id="20" w:name="P179"/>
      <w:bookmarkEnd w:id="20"/>
      <w:r>
        <w:rPr>
          <w:rFonts w:cs="Times New Roman" w:ascii="Times New Roman" w:hAnsi="Times New Roman"/>
          <w:sz w:val="28"/>
          <w:szCs w:val="28"/>
        </w:rPr>
        <w:t xml:space="preserve">2.8.4.15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w:t>
      </w:r>
      <w:hyperlink r:id="rId53">
        <w:r>
          <w:rPr>
            <w:rFonts w:cs="Times New Roman" w:ascii="Times New Roman" w:hAnsi="Times New Roman"/>
            <w:sz w:val="28"/>
            <w:szCs w:val="28"/>
          </w:rPr>
          <w:t>пунктом 11.5</w:t>
        </w:r>
      </w:hyperlink>
      <w:r>
        <w:rPr>
          <w:rFonts w:cs="Times New Roman" w:ascii="Times New Roman" w:hAnsi="Times New Roman"/>
          <w:sz w:val="28"/>
          <w:szCs w:val="28"/>
        </w:rPr>
        <w:t xml:space="preserve"> Правил технической эксплуатации тепловых энергоустановок, содержащие результаты поверки средств измерений в соответствии с </w:t>
      </w:r>
      <w:hyperlink r:id="rId54">
        <w:r>
          <w:rPr>
            <w:rFonts w:cs="Times New Roman" w:ascii="Times New Roman" w:hAnsi="Times New Roman"/>
            <w:sz w:val="28"/>
            <w:szCs w:val="28"/>
          </w:rPr>
          <w:t>частью 4 статьи 13</w:t>
        </w:r>
      </w:hyperlink>
      <w:r>
        <w:rPr>
          <w:rFonts w:cs="Times New Roman" w:ascii="Times New Roman" w:hAnsi="Times New Roman"/>
          <w:sz w:val="28"/>
          <w:szCs w:val="28"/>
        </w:rPr>
        <w:t xml:space="preserve"> Федерального закона от 26.06.2008 № 102-ФЗ "Об обеспечении единства измерений".</w:t>
      </w:r>
    </w:p>
    <w:p>
      <w:pPr>
        <w:pStyle w:val="ConsPlusNormal"/>
        <w:spacing w:before="220" w:after="0"/>
        <w:ind w:firstLine="540"/>
        <w:jc w:val="both"/>
        <w:rPr>
          <w:rFonts w:ascii="Times New Roman" w:hAnsi="Times New Roman" w:cs="Times New Roman"/>
          <w:sz w:val="28"/>
          <w:szCs w:val="28"/>
        </w:rPr>
      </w:pPr>
      <w:bookmarkStart w:id="21" w:name="P180"/>
      <w:bookmarkEnd w:id="21"/>
      <w:r>
        <w:rPr>
          <w:rFonts w:cs="Times New Roman" w:ascii="Times New Roman" w:hAnsi="Times New Roman"/>
          <w:sz w:val="28"/>
          <w:szCs w:val="28"/>
        </w:rPr>
        <w:t xml:space="preserve">2.8.4.16. Акт выполненных работ по подготовке к отопительному периоду теплового контура здания в соответствии с требованиями </w:t>
      </w:r>
      <w:hyperlink r:id="rId55">
        <w:r>
          <w:rPr>
            <w:rFonts w:cs="Times New Roman" w:ascii="Times New Roman" w:hAnsi="Times New Roman"/>
            <w:sz w:val="28"/>
            <w:szCs w:val="28"/>
          </w:rPr>
          <w:t>пункта 2.6.10</w:t>
        </w:r>
      </w:hyperlink>
      <w:r>
        <w:rPr>
          <w:rFonts w:cs="Times New Roman" w:ascii="Times New Roman" w:hAnsi="Times New Roman"/>
          <w:sz w:val="28"/>
          <w:szCs w:val="28"/>
        </w:rPr>
        <w:t xml:space="preserve"> Правил № 170.</w:t>
      </w:r>
    </w:p>
    <w:p>
      <w:pPr>
        <w:pStyle w:val="ConsPlusNormal"/>
        <w:ind w:firstLine="540"/>
        <w:jc w:val="both"/>
        <w:rPr/>
      </w:pPr>
      <w:bookmarkStart w:id="22" w:name="P181"/>
      <w:bookmarkEnd w:id="22"/>
      <w:r>
        <w:rPr>
          <w:rFonts w:cs="Times New Roman" w:ascii="Times New Roman" w:hAnsi="Times New Roman"/>
          <w:sz w:val="28"/>
          <w:szCs w:val="28"/>
        </w:rPr>
        <w:t xml:space="preserve">2.8.4.17. Акты о проведении дезинфекции систем теплопотребления с открытой схемой теплоснабжения и горячего водоснабжения в соответствии с </w:t>
      </w:r>
      <w:hyperlink r:id="rId56">
        <w:r>
          <w:rPr>
            <w:rFonts w:cs="Times New Roman" w:ascii="Times New Roman" w:hAnsi="Times New Roman"/>
            <w:sz w:val="28"/>
            <w:szCs w:val="28"/>
          </w:rPr>
          <w:t>пунктом 5.2.10</w:t>
        </w:r>
      </w:hyperlink>
      <w:r>
        <w:rPr>
          <w:rFonts w:cs="Times New Roman" w:ascii="Times New Roman" w:hAnsi="Times New Roman"/>
          <w:sz w:val="28"/>
          <w:szCs w:val="28"/>
        </w:rPr>
        <w:t xml:space="preserve"> Правил N 170, санитарными правилами и нормами </w:t>
      </w:r>
      <w:hyperlink r:id="rId57">
        <w:r>
          <w:rPr>
            <w:rFonts w:cs="Times New Roman" w:ascii="Times New Roman" w:hAnsi="Times New Roman"/>
            <w:sz w:val="28"/>
            <w:szCs w:val="28"/>
          </w:rPr>
          <w:t>СанПиН 1.2.3685-21</w:t>
        </w:r>
      </w:hyperlink>
      <w:r>
        <w:rPr>
          <w:rFonts w:cs="Times New Roman" w:ascii="Times New Roman" w:hAnsi="Times New Roman"/>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СанПиН 1.2.3685-21), и акты о результатах отбора проб воды из системы на соответствие с </w:t>
      </w:r>
      <w:hyperlink r:id="rId58">
        <w:r>
          <w:rPr>
            <w:rFonts w:cs="Times New Roman" w:ascii="Times New Roman" w:hAnsi="Times New Roman"/>
            <w:sz w:val="28"/>
            <w:szCs w:val="28"/>
          </w:rPr>
          <w:t>СанПиН 1.2.3685-21</w:t>
        </w:r>
      </w:hyperlink>
      <w:r>
        <w:rPr>
          <w:rFonts w:cs="Times New Roman" w:ascii="Times New Roman" w:hAnsi="Times New Roman"/>
          <w:sz w:val="28"/>
          <w:szCs w:val="28"/>
        </w:rPr>
        <w:t>, оформленные аккредитованной лабораторией.</w:t>
      </w:r>
    </w:p>
    <w:p>
      <w:pPr>
        <w:pStyle w:val="ConsPlusNormal"/>
        <w:ind w:firstLine="540"/>
        <w:jc w:val="both"/>
        <w:rPr>
          <w:rFonts w:ascii="Times New Roman" w:hAnsi="Times New Roman" w:cs="Times New Roman"/>
          <w:sz w:val="28"/>
          <w:szCs w:val="28"/>
        </w:rPr>
      </w:pPr>
      <w:bookmarkStart w:id="23" w:name="P185"/>
      <w:bookmarkEnd w:id="23"/>
      <w:r>
        <w:rPr>
          <w:rFonts w:cs="Times New Roman" w:ascii="Times New Roman" w:hAnsi="Times New Roman"/>
          <w:sz w:val="28"/>
          <w:szCs w:val="28"/>
        </w:rPr>
        <w:t>2.8.4.18. Копия акта обследования дымовых и вентиляционных каналов многоквартирных домов перед отопительным периодом.</w:t>
      </w:r>
    </w:p>
    <w:p>
      <w:pPr>
        <w:pStyle w:val="ConsPlusNormal"/>
        <w:ind w:firstLine="540"/>
        <w:jc w:val="both"/>
        <w:rPr>
          <w:rFonts w:ascii="Times New Roman" w:hAnsi="Times New Roman" w:cs="Times New Roman"/>
          <w:sz w:val="28"/>
          <w:szCs w:val="28"/>
        </w:rPr>
      </w:pPr>
      <w:bookmarkStart w:id="24" w:name="P186"/>
      <w:bookmarkEnd w:id="24"/>
      <w:r>
        <w:rPr>
          <w:rFonts w:cs="Times New Roman" w:ascii="Times New Roman" w:hAnsi="Times New Roman"/>
          <w:sz w:val="28"/>
          <w:szCs w:val="28"/>
        </w:rPr>
        <w:t xml:space="preserve">2.84.19.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w:t>
      </w:r>
      <w:hyperlink w:anchor="P200">
        <w:r>
          <w:rPr>
            <w:rFonts w:cs="Times New Roman" w:ascii="Times New Roman" w:hAnsi="Times New Roman"/>
            <w:sz w:val="28"/>
            <w:szCs w:val="28"/>
          </w:rPr>
          <w:t>приложении</w:t>
        </w:r>
      </w:hyperlink>
      <w:r>
        <w:rPr>
          <w:rFonts w:cs="Times New Roman" w:ascii="Times New Roman" w:hAnsi="Times New Roman"/>
          <w:sz w:val="28"/>
          <w:szCs w:val="28"/>
        </w:rPr>
        <w:t xml:space="preserve"> к  Правилам обеспечения готовности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pPr>
        <w:pStyle w:val="ConsPlusNormal"/>
        <w:ind w:firstLine="540"/>
        <w:jc w:val="both"/>
        <w:rPr/>
      </w:pPr>
      <w:r>
        <w:rPr/>
      </w:r>
    </w:p>
    <w:p>
      <w:pPr>
        <w:pStyle w:val="ConsPlusNormal"/>
        <w:ind w:firstLine="540"/>
        <w:jc w:val="both"/>
        <w:rPr/>
      </w:pPr>
      <w:r>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sz w:val="28"/>
          <w:szCs w:val="28"/>
        </w:rPr>
      </w:pPr>
      <w:r>
        <w:rPr>
          <w:sz w:val="28"/>
          <w:szCs w:val="28"/>
        </w:rPr>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0" w:after="0"/>
        <w:jc w:val="center"/>
        <w:rPr>
          <w:rFonts w:ascii="Times New Roman" w:hAnsi="Times New Roman" w:cs="Times New Roman"/>
          <w:sz w:val="28"/>
          <w:szCs w:val="28"/>
        </w:rPr>
      </w:pPr>
      <w:r>
        <w:rPr>
          <w:rFonts w:cs="Times New Roman" w:ascii="Times New Roman" w:hAnsi="Times New Roman"/>
          <w:sz w:val="28"/>
          <w:szCs w:val="28"/>
        </w:rPr>
        <w:t xml:space="preserve">                                   </w:t>
      </w:r>
    </w:p>
    <w:p>
      <w:pPr>
        <w:pStyle w:val="Normal"/>
        <w:shd w:val="clear" w:color="auto" w:fill="FFFFFF"/>
        <w:spacing w:before="0" w:after="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ab/>
        <w:tab/>
        <w:tab/>
        <w:t xml:space="preserve">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sectPr>
      <w:type w:val="nextPage"/>
      <w:pgSz w:w="11906" w:h="16838"/>
      <w:pgMar w:left="1701" w:right="851"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100"/>
  <w:defaultTabStop w:val="708"/>
  <w:mailMerge>
    <w:mainDocumentType w:val="formLetters"/>
    <w:dataType w:val="textFile"/>
    <w:query w:val="SELECT * FROM Адреса.dbo.СВО-2025-янв$"/>
  </w:mailMerge>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5">
    <w:name w:val="Heading 5"/>
    <w:basedOn w:val="Normal"/>
    <w:next w:val="Normal"/>
    <w:link w:val="5"/>
    <w:uiPriority w:val="9"/>
    <w:semiHidden/>
    <w:unhideWhenUsed/>
    <w:qFormat/>
    <w:rsid w:val="0002568a"/>
    <w:pPr>
      <w:keepNext w:val="true"/>
      <w:keepLines/>
      <w:spacing w:before="40" w:after="0"/>
      <w:outlineLvl w:val="4"/>
    </w:pPr>
    <w:rPr>
      <w:rFonts w:ascii="Calibri Light" w:hAnsi="Calibri Light" w:eastAsia="" w:cs="" w:asciiTheme="majorHAnsi" w:cstheme="majorBidi" w:eastAsiaTheme="majorEastAsia" w:hAnsiTheme="majorHAnsi"/>
      <w:color w:themeColor="accent1" w:themeShade="bf" w:val="2E74B5"/>
    </w:rPr>
  </w:style>
  <w:style w:type="paragraph" w:styleId="Heading7">
    <w:name w:val="Heading 7"/>
    <w:basedOn w:val="Normal"/>
    <w:next w:val="Normal"/>
    <w:link w:val="7"/>
    <w:qFormat/>
    <w:rsid w:val="00df459b"/>
    <w:pPr>
      <w:keepNext w:val="true"/>
      <w:widowControl w:val="false"/>
      <w:shd w:val="clear" w:color="auto" w:fill="FFFFFF"/>
      <w:spacing w:lineRule="auto" w:line="240" w:before="0" w:after="0"/>
      <w:ind w:left="4820"/>
      <w:jc w:val="both"/>
      <w:outlineLvl w:val="6"/>
    </w:pPr>
    <w:rPr>
      <w:rFonts w:ascii="Times New Roman" w:hAnsi="Times New Roman" w:eastAsia="Times New Roman" w:cs="Times New Roman"/>
      <w:sz w:val="26"/>
      <w:szCs w:val="20"/>
      <w:lang w:eastAsia="ru-RU"/>
    </w:rPr>
  </w:style>
  <w:style w:type="paragraph" w:styleId="Heading8">
    <w:name w:val="Heading 8"/>
    <w:basedOn w:val="Normal"/>
    <w:next w:val="Normal"/>
    <w:link w:val="8"/>
    <w:qFormat/>
    <w:rsid w:val="00df459b"/>
    <w:pPr>
      <w:keepNext w:val="true"/>
      <w:widowControl w:val="false"/>
      <w:tabs>
        <w:tab w:val="clear" w:pos="708"/>
        <w:tab w:val="left" w:pos="3544" w:leader="none"/>
      </w:tabs>
      <w:spacing w:lineRule="auto" w:line="240" w:before="0" w:after="0"/>
      <w:ind w:firstLine="720"/>
      <w:outlineLvl w:val="7"/>
    </w:pPr>
    <w:rPr>
      <w:rFonts w:ascii="Times New Roman" w:hAnsi="Times New Roman" w:eastAsia="Times New Roman" w:cs="Times New Roman"/>
      <w:sz w:val="26"/>
      <w:szCs w:val="20"/>
      <w:lang w:eastAsia="ru-RU"/>
    </w:rPr>
  </w:style>
  <w:style w:type="paragraph" w:styleId="Heading9">
    <w:name w:val="Heading 9"/>
    <w:basedOn w:val="Normal"/>
    <w:next w:val="Normal"/>
    <w:link w:val="9"/>
    <w:qFormat/>
    <w:rsid w:val="00df459b"/>
    <w:pPr>
      <w:keepNext w:val="true"/>
      <w:widowControl w:val="false"/>
      <w:tabs>
        <w:tab w:val="clear" w:pos="708"/>
        <w:tab w:val="left" w:pos="3686" w:leader="none"/>
      </w:tabs>
      <w:spacing w:lineRule="auto" w:line="240" w:before="0" w:after="0"/>
      <w:ind w:firstLine="720"/>
      <w:outlineLvl w:val="8"/>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7" w:customStyle="1">
    <w:name w:val="Заголовок 7 Знак"/>
    <w:basedOn w:val="DefaultParagraphFont"/>
    <w:qFormat/>
    <w:rsid w:val="00df459b"/>
    <w:rPr>
      <w:rFonts w:ascii="Times New Roman" w:hAnsi="Times New Roman" w:eastAsia="Times New Roman" w:cs="Times New Roman"/>
      <w:sz w:val="26"/>
      <w:szCs w:val="20"/>
      <w:shd w:fill="FFFFFF" w:val="clear"/>
      <w:lang w:eastAsia="ru-RU"/>
    </w:rPr>
  </w:style>
  <w:style w:type="character" w:styleId="8" w:customStyle="1">
    <w:name w:val="Заголовок 8 Знак"/>
    <w:basedOn w:val="DefaultParagraphFont"/>
    <w:qFormat/>
    <w:rsid w:val="00df459b"/>
    <w:rPr>
      <w:rFonts w:ascii="Times New Roman" w:hAnsi="Times New Roman" w:eastAsia="Times New Roman" w:cs="Times New Roman"/>
      <w:sz w:val="26"/>
      <w:szCs w:val="20"/>
      <w:lang w:eastAsia="ru-RU"/>
    </w:rPr>
  </w:style>
  <w:style w:type="character" w:styleId="9" w:customStyle="1">
    <w:name w:val="Заголовок 9 Знак"/>
    <w:basedOn w:val="DefaultParagraphFont"/>
    <w:qFormat/>
    <w:rsid w:val="00df459b"/>
    <w:rPr>
      <w:rFonts w:ascii="Times New Roman" w:hAnsi="Times New Roman" w:eastAsia="Times New Roman" w:cs="Times New Roman"/>
      <w:sz w:val="28"/>
      <w:szCs w:val="20"/>
      <w:lang w:eastAsia="ru-RU"/>
    </w:rPr>
  </w:style>
  <w:style w:type="character" w:styleId="Style10" w:customStyle="1">
    <w:name w:val="Основной текст с отступом Знак"/>
    <w:basedOn w:val="DefaultParagraphFont"/>
    <w:qFormat/>
    <w:rsid w:val="00df459b"/>
    <w:rPr>
      <w:rFonts w:ascii="Times New Roman" w:hAnsi="Times New Roman" w:eastAsia="Times New Roman" w:cs="Times New Roman"/>
      <w:b/>
      <w:sz w:val="28"/>
      <w:szCs w:val="20"/>
      <w:shd w:fill="FFFFFF" w:val="clear"/>
      <w:lang w:eastAsia="ru-RU"/>
    </w:rPr>
  </w:style>
  <w:style w:type="character" w:styleId="5" w:customStyle="1">
    <w:name w:val="Заголовок 5 Знак"/>
    <w:basedOn w:val="DefaultParagraphFont"/>
    <w:uiPriority w:val="9"/>
    <w:semiHidden/>
    <w:qFormat/>
    <w:rsid w:val="0002568a"/>
    <w:rPr>
      <w:rFonts w:ascii="Calibri Light" w:hAnsi="Calibri Light" w:eastAsia="" w:cs="" w:asciiTheme="majorHAnsi" w:cstheme="majorBidi" w:eastAsiaTheme="majorEastAsia" w:hAnsiTheme="majorHAnsi"/>
      <w:color w:themeColor="accent1" w:themeShade="bf" w:val="2E74B5"/>
    </w:rPr>
  </w:style>
  <w:style w:type="character" w:styleId="2" w:customStyle="1">
    <w:name w:val="Основной текст 2 Знак"/>
    <w:basedOn w:val="DefaultParagraphFont"/>
    <w:link w:val="BodyText2"/>
    <w:qFormat/>
    <w:rsid w:val="00e24177"/>
    <w:rPr>
      <w:rFonts w:ascii="Times New Roman" w:hAnsi="Times New Roman" w:eastAsia="Times New Roman" w:cs="Times New Roman"/>
      <w:sz w:val="20"/>
      <w:szCs w:val="20"/>
      <w:lang w:eastAsia="ru-RU"/>
    </w:rPr>
  </w:style>
  <w:style w:type="character" w:styleId="21" w:customStyle="1">
    <w:name w:val="Основной текст с отступом 2 Знак"/>
    <w:basedOn w:val="DefaultParagraphFont"/>
    <w:link w:val="BodyTextIndent2"/>
    <w:qFormat/>
    <w:rsid w:val="00e24177"/>
    <w:rPr>
      <w:rFonts w:ascii="Times New Roman" w:hAnsi="Times New Roman" w:eastAsia="Times New Roman" w:cs="Times New Roman"/>
      <w:sz w:val="20"/>
      <w:szCs w:val="20"/>
      <w:lang w:eastAsia="ru-RU"/>
    </w:rPr>
  </w:style>
  <w:style w:type="character" w:styleId="Hyperlink">
    <w:name w:val="Hyperlink"/>
    <w:rsid w:val="00e24177"/>
    <w:rPr>
      <w:color w:val="0000FF"/>
      <w:u w:val="single"/>
    </w:rPr>
  </w:style>
  <w:style w:type="character" w:styleId="Style11" w:customStyle="1">
    <w:name w:val="Текст выноски Знак"/>
    <w:basedOn w:val="DefaultParagraphFont"/>
    <w:link w:val="BalloonText"/>
    <w:uiPriority w:val="99"/>
    <w:semiHidden/>
    <w:qFormat/>
    <w:rsid w:val="002e649a"/>
    <w:rPr>
      <w:rFonts w:ascii="Segoe UI" w:hAnsi="Segoe UI" w:cs="Segoe UI"/>
      <w:sz w:val="18"/>
      <w:szCs w:val="18"/>
    </w:rPr>
  </w:style>
  <w:style w:type="character" w:styleId="Emphasis">
    <w:name w:val="Emphasis"/>
    <w:basedOn w:val="DefaultParagraphFont"/>
    <w:uiPriority w:val="20"/>
    <w:qFormat/>
    <w:rsid w:val="00737dad"/>
    <w:rPr>
      <w:i/>
      <w:iCs/>
    </w:rPr>
  </w:style>
  <w:style w:type="paragraph" w:styleId="Style12">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3">
    <w:name w:val="Указатель"/>
    <w:basedOn w:val="Normal"/>
    <w:qFormat/>
    <w:pPr>
      <w:suppressLineNumbers/>
    </w:pPr>
    <w:rPr>
      <w:rFonts w:cs="Arial"/>
    </w:rPr>
  </w:style>
  <w:style w:type="paragraph" w:styleId="ListParagraph">
    <w:name w:val="List Paragraph"/>
    <w:basedOn w:val="Normal"/>
    <w:uiPriority w:val="34"/>
    <w:qFormat/>
    <w:rsid w:val="00c83c81"/>
    <w:pPr>
      <w:spacing w:before="0" w:after="160"/>
      <w:ind w:left="720"/>
      <w:contextualSpacing/>
    </w:pPr>
    <w:rPr/>
  </w:style>
  <w:style w:type="paragraph" w:styleId="BodyTextIndent">
    <w:name w:val="Body Text Indent"/>
    <w:basedOn w:val="Normal"/>
    <w:link w:val="Style10"/>
    <w:rsid w:val="00df459b"/>
    <w:pPr>
      <w:widowControl w:val="false"/>
      <w:shd w:val="clear" w:color="auto" w:fill="FFFFFF"/>
      <w:spacing w:lineRule="exact" w:line="270" w:before="0" w:after="0"/>
      <w:ind w:hanging="194" w:left="641"/>
      <w:jc w:val="center"/>
    </w:pPr>
    <w:rPr>
      <w:rFonts w:ascii="Times New Roman" w:hAnsi="Times New Roman" w:eastAsia="Times New Roman" w:cs="Times New Roman"/>
      <w:b/>
      <w:sz w:val="28"/>
      <w:szCs w:val="20"/>
      <w:lang w:eastAsia="ru-RU"/>
    </w:rPr>
  </w:style>
  <w:style w:type="paragraph" w:styleId="BlockText">
    <w:name w:val="Block Text"/>
    <w:basedOn w:val="Normal"/>
    <w:qFormat/>
    <w:rsid w:val="00e24177"/>
    <w:pPr>
      <w:widowControl w:val="false"/>
      <w:shd w:val="clear" w:color="auto" w:fill="FFFFFF"/>
      <w:spacing w:lineRule="exact" w:line="264" w:before="2" w:after="0"/>
      <w:ind w:left="24" w:right="5243"/>
      <w:jc w:val="both"/>
    </w:pPr>
    <w:rPr>
      <w:rFonts w:ascii="Times New Roman" w:hAnsi="Times New Roman" w:eastAsia="Times New Roman" w:cs="Times New Roman"/>
      <w:sz w:val="20"/>
      <w:szCs w:val="20"/>
      <w:lang w:eastAsia="ru-RU"/>
    </w:rPr>
  </w:style>
  <w:style w:type="paragraph" w:styleId="ConsNormal" w:customStyle="1">
    <w:name w:val="ConsNormal"/>
    <w:qFormat/>
    <w:rsid w:val="00e24177"/>
    <w:pPr>
      <w:widowControl w:val="false"/>
      <w:bidi w:val="0"/>
      <w:snapToGrid w:val="false"/>
      <w:spacing w:lineRule="auto" w:line="240" w:before="0" w:after="0"/>
      <w:ind w:firstLine="720"/>
      <w:jc w:val="left"/>
    </w:pPr>
    <w:rPr>
      <w:rFonts w:ascii="Arial" w:hAnsi="Arial" w:eastAsia="Times New Roman" w:cs="Times New Roman"/>
      <w:color w:val="auto"/>
      <w:kern w:val="0"/>
      <w:sz w:val="20"/>
      <w:szCs w:val="20"/>
      <w:lang w:eastAsia="ru-RU" w:val="ru-RU" w:bidi="ar-SA"/>
    </w:rPr>
  </w:style>
  <w:style w:type="paragraph" w:styleId="BodyText2">
    <w:name w:val="Body Text 2"/>
    <w:basedOn w:val="Normal"/>
    <w:link w:val="2"/>
    <w:qFormat/>
    <w:rsid w:val="00e24177"/>
    <w:pPr>
      <w:widowControl w:val="false"/>
      <w:spacing w:lineRule="auto" w:line="480" w:before="0" w:after="120"/>
    </w:pPr>
    <w:rPr>
      <w:rFonts w:ascii="Times New Roman" w:hAnsi="Times New Roman" w:eastAsia="Times New Roman" w:cs="Times New Roman"/>
      <w:sz w:val="20"/>
      <w:szCs w:val="20"/>
      <w:lang w:eastAsia="ru-RU"/>
    </w:rPr>
  </w:style>
  <w:style w:type="paragraph" w:styleId="BodyTextIndent2">
    <w:name w:val="Body Text Indent 2"/>
    <w:basedOn w:val="Normal"/>
    <w:link w:val="21"/>
    <w:qFormat/>
    <w:rsid w:val="00e24177"/>
    <w:pPr>
      <w:widowControl w:val="false"/>
      <w:spacing w:lineRule="auto" w:line="480" w:before="0" w:after="120"/>
      <w:ind w:left="283"/>
    </w:pPr>
    <w:rPr>
      <w:rFonts w:ascii="Times New Roman" w:hAnsi="Times New Roman" w:eastAsia="Times New Roman" w:cs="Times New Roman"/>
      <w:sz w:val="20"/>
      <w:szCs w:val="20"/>
      <w:lang w:eastAsia="ru-RU"/>
    </w:rPr>
  </w:style>
  <w:style w:type="paragraph" w:styleId="BalloonText">
    <w:name w:val="Balloon Text"/>
    <w:basedOn w:val="Normal"/>
    <w:link w:val="Style11"/>
    <w:uiPriority w:val="99"/>
    <w:semiHidden/>
    <w:unhideWhenUsed/>
    <w:qFormat/>
    <w:rsid w:val="002e649a"/>
    <w:pPr>
      <w:spacing w:lineRule="auto" w:line="240" w:before="0" w:after="0"/>
    </w:pPr>
    <w:rPr>
      <w:rFonts w:ascii="Segoe UI" w:hAnsi="Segoe UI" w:cs="Segoe UI"/>
      <w:sz w:val="18"/>
      <w:szCs w:val="18"/>
    </w:rPr>
  </w:style>
  <w:style w:type="paragraph" w:styleId="ConsPlusNormal" w:customStyle="1">
    <w:name w:val="ConsPlusNormal"/>
    <w:qFormat/>
    <w:rsid w:val="0035605f"/>
    <w:pPr>
      <w:widowControl/>
      <w:bidi w:val="0"/>
      <w:spacing w:lineRule="auto" w:line="240" w:before="0" w:after="0"/>
      <w:jc w:val="left"/>
    </w:pPr>
    <w:rPr>
      <w:rFonts w:ascii="Arial" w:hAnsi="Arial" w:eastAsia="Calibri" w:cs="Arial" w:eastAsiaTheme="minorHAnsi"/>
      <w:color w:val="auto"/>
      <w:kern w:val="0"/>
      <w:sz w:val="20"/>
      <w:szCs w:val="20"/>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97804&amp;dst=101107" TargetMode="External"/><Relationship Id="rId3" Type="http://schemas.openxmlformats.org/officeDocument/2006/relationships/hyperlink" Target="https://login.consultant.ru/link/?req=doc&amp;base=LAW&amp;n=497804&amp;dst=444" TargetMode="External"/><Relationship Id="rId4" Type="http://schemas.openxmlformats.org/officeDocument/2006/relationships/hyperlink" Target="https://login.consultant.ru/link/?req=doc&amp;base=LAW&amp;n=497804&amp;dst=101107" TargetMode="External"/><Relationship Id="rId5" Type="http://schemas.openxmlformats.org/officeDocument/2006/relationships/hyperlink" Target="https://login.consultant.ru/link/?req=doc&amp;base=LAW&amp;n=483239&amp;dst=518" TargetMode="External"/><Relationship Id="rId6" Type="http://schemas.openxmlformats.org/officeDocument/2006/relationships/hyperlink" Target="https://login.consultant.ru/link/?req=doc&amp;base=LAW&amp;n=483239&amp;dst=542" TargetMode="External"/><Relationship Id="rId7" Type="http://schemas.openxmlformats.org/officeDocument/2006/relationships/hyperlink" Target="https://login.consultant.ru/link/?req=doc&amp;base=LAW&amp;n=483239&amp;dst=563" TargetMode="External"/><Relationship Id="rId8" Type="http://schemas.openxmlformats.org/officeDocument/2006/relationships/hyperlink" Target="https://login.consultant.ru/link/?req=doc&amp;base=LAW&amp;n=44772&amp;dst=100012" TargetMode="External"/><Relationship Id="rId9" Type="http://schemas.openxmlformats.org/officeDocument/2006/relationships/hyperlink" Target="https://login.consultant.ru/link/?req=doc&amp;base=LAW&amp;n=41812&amp;dst=100072" TargetMode="External"/><Relationship Id="rId10" Type="http://schemas.openxmlformats.org/officeDocument/2006/relationships/hyperlink" Target="https://login.consultant.ru/link/?req=doc&amp;base=LAW&amp;n=41812&amp;dst=100164" TargetMode="External"/><Relationship Id="rId11" Type="http://schemas.openxmlformats.org/officeDocument/2006/relationships/hyperlink" Target="https://login.consultant.ru/link/?req=doc&amp;base=LAW&amp;n=41812&amp;dst=100167" TargetMode="External"/><Relationship Id="rId12" Type="http://schemas.openxmlformats.org/officeDocument/2006/relationships/hyperlink" Target="https://login.consultant.ru/link/?req=doc&amp;base=LAW&amp;n=41812&amp;dst=100377" TargetMode="External"/><Relationship Id="rId13" Type="http://schemas.openxmlformats.org/officeDocument/2006/relationships/hyperlink" Target="https://login.consultant.ru/link/?req=doc&amp;base=LAW&amp;n=41812&amp;dst=101169" TargetMode="External"/><Relationship Id="rId14" Type="http://schemas.openxmlformats.org/officeDocument/2006/relationships/hyperlink" Target="https://login.consultant.ru/link/?req=doc&amp;base=LAW&amp;n=41812&amp;dst=101187" TargetMode="External"/><Relationship Id="rId15" Type="http://schemas.openxmlformats.org/officeDocument/2006/relationships/hyperlink" Target="https://login.consultant.ru/link/?req=doc&amp;base=LAW&amp;n=41812&amp;dst=101516" TargetMode="External"/><Relationship Id="rId16" Type="http://schemas.openxmlformats.org/officeDocument/2006/relationships/hyperlink" Target="https://login.consultant.ru/link/?req=doc&amp;base=LAW&amp;n=41812&amp;dst=101548" TargetMode="External"/><Relationship Id="rId17" Type="http://schemas.openxmlformats.org/officeDocument/2006/relationships/hyperlink" Target="https://login.consultant.ru/link/?req=doc&amp;base=LAW&amp;n=41812&amp;dst=101552" TargetMode="External"/><Relationship Id="rId18" Type="http://schemas.openxmlformats.org/officeDocument/2006/relationships/hyperlink" Target="https://login.consultant.ru/link/?req=doc&amp;base=LAW&amp;n=41812&amp;dst=101554" TargetMode="External"/><Relationship Id="rId19" Type="http://schemas.openxmlformats.org/officeDocument/2006/relationships/hyperlink" Target="https://login.consultant.ru/link/?req=doc&amp;base=LAW&amp;n=41812&amp;dst=101555" TargetMode="External"/><Relationship Id="rId20" Type="http://schemas.openxmlformats.org/officeDocument/2006/relationships/hyperlink" Target="https://login.consultant.ru/link/?req=doc&amp;base=LAW&amp;n=41812&amp;dst=101584" TargetMode="External"/><Relationship Id="rId21" Type="http://schemas.openxmlformats.org/officeDocument/2006/relationships/hyperlink" Target="https://login.consultant.ru/link/?req=doc&amp;base=LAW&amp;n=41812&amp;dst=101598" TargetMode="External"/><Relationship Id="rId22" Type="http://schemas.openxmlformats.org/officeDocument/2006/relationships/hyperlink" Target="https://login.consultant.ru/link/?req=doc&amp;base=LAW&amp;n=41812&amp;dst=101600" TargetMode="External"/><Relationship Id="rId23" Type="http://schemas.openxmlformats.org/officeDocument/2006/relationships/hyperlink" Target="https://login.consultant.ru/link/?req=doc&amp;base=LAW&amp;n=41812&amp;dst=101619" TargetMode="External"/><Relationship Id="rId24" Type="http://schemas.openxmlformats.org/officeDocument/2006/relationships/hyperlink" Target="https://login.consultant.ru/link/?req=doc&amp;base=LAW&amp;n=41812&amp;dst=101633" TargetMode="External"/><Relationship Id="rId25" Type="http://schemas.openxmlformats.org/officeDocument/2006/relationships/hyperlink" Target="https://login.consultant.ru/link/?req=doc&amp;base=LAW&amp;n=41812&amp;dst=101635" TargetMode="External"/><Relationship Id="rId26" Type="http://schemas.openxmlformats.org/officeDocument/2006/relationships/hyperlink" Target="https://login.consultant.ru/link/?req=doc&amp;base=LAW&amp;n=41812&amp;dst=101717" TargetMode="External"/><Relationship Id="rId27" Type="http://schemas.openxmlformats.org/officeDocument/2006/relationships/hyperlink" Target="https://login.consultant.ru/link/?req=doc&amp;base=LAW&amp;n=41812&amp;dst=101909" TargetMode="External"/><Relationship Id="rId28" Type="http://schemas.openxmlformats.org/officeDocument/2006/relationships/hyperlink" Target="https://login.consultant.ru/link/?req=doc&amp;base=LAW&amp;n=41812&amp;dst=101916" TargetMode="External"/><Relationship Id="rId29" Type="http://schemas.openxmlformats.org/officeDocument/2006/relationships/hyperlink" Target="https://login.consultant.ru/link/?req=doc&amp;base=LAW&amp;n=41812&amp;dst=101920" TargetMode="External"/><Relationship Id="rId30" Type="http://schemas.openxmlformats.org/officeDocument/2006/relationships/hyperlink" Target="https://login.consultant.ru/link/?req=doc&amp;base=LAW&amp;n=373204&amp;dst=101342" TargetMode="External"/><Relationship Id="rId31" Type="http://schemas.openxmlformats.org/officeDocument/2006/relationships/hyperlink" Target="https://login.consultant.ru/link/?req=doc&amp;base=LAW&amp;n=373204&amp;dst=101352" TargetMode="External"/><Relationship Id="rId32" Type="http://schemas.openxmlformats.org/officeDocument/2006/relationships/hyperlink" Target="https://login.consultant.ru/link/?req=doc&amp;base=LAW&amp;n=373204&amp;dst=101360" TargetMode="External"/><Relationship Id="rId33" Type="http://schemas.openxmlformats.org/officeDocument/2006/relationships/hyperlink" Target="https://login.consultant.ru/link/?req=doc&amp;base=LAW&amp;n=373204&amp;dst=101375" TargetMode="External"/><Relationship Id="rId34" Type="http://schemas.openxmlformats.org/officeDocument/2006/relationships/hyperlink" Target="https://login.consultant.ru/link/?req=doc&amp;base=LAW&amp;n=41812&amp;dst=101909" TargetMode="External"/><Relationship Id="rId35" Type="http://schemas.openxmlformats.org/officeDocument/2006/relationships/hyperlink" Target="https://login.consultant.ru/link/?req=doc&amp;base=LAW&amp;n=41812&amp;dst=101548" TargetMode="External"/><Relationship Id="rId36" Type="http://schemas.openxmlformats.org/officeDocument/2006/relationships/hyperlink" Target="https://login.consultant.ru/link/?req=doc&amp;base=LAW&amp;n=41812&amp;dst=101635" TargetMode="External"/><Relationship Id="rId37" Type="http://schemas.openxmlformats.org/officeDocument/2006/relationships/hyperlink" Target="https://login.consultant.ru/link/?req=doc&amp;base=LAW&amp;n=41812&amp;dst=101684" TargetMode="External"/><Relationship Id="rId38" Type="http://schemas.openxmlformats.org/officeDocument/2006/relationships/hyperlink" Target="https://login.consultant.ru/link/?req=doc&amp;base=LAW&amp;n=41812&amp;dst=101687" TargetMode="External"/><Relationship Id="rId39" Type="http://schemas.openxmlformats.org/officeDocument/2006/relationships/hyperlink" Target="https://login.consultant.ru/link/?req=doc&amp;base=LAW&amp;n=41812&amp;dst=100062" TargetMode="External"/><Relationship Id="rId40" Type="http://schemas.openxmlformats.org/officeDocument/2006/relationships/hyperlink" Target="https://login.consultant.ru/link/?req=doc&amp;base=LAW&amp;n=41812&amp;dst=100063" TargetMode="External"/><Relationship Id="rId41" Type="http://schemas.openxmlformats.org/officeDocument/2006/relationships/hyperlink" Target="https://login.consultant.ru/link/?req=doc&amp;base=LAW&amp;n=373204&amp;dst=100815" TargetMode="External"/><Relationship Id="rId42" Type="http://schemas.openxmlformats.org/officeDocument/2006/relationships/hyperlink" Target="https://login.consultant.ru/link/?req=doc&amp;base=LAW&amp;n=41812&amp;dst=101380" TargetMode="External"/><Relationship Id="rId43" Type="http://schemas.openxmlformats.org/officeDocument/2006/relationships/hyperlink" Target="https://login.consultant.ru/link/?req=doc&amp;base=LAW&amp;n=41812&amp;dst=101531" TargetMode="External"/><Relationship Id="rId44" Type="http://schemas.openxmlformats.org/officeDocument/2006/relationships/hyperlink" Target="https://login.consultant.ru/link/?req=doc&amp;base=LAW&amp;n=373204&amp;dst=100981" TargetMode="External"/><Relationship Id="rId45" Type="http://schemas.openxmlformats.org/officeDocument/2006/relationships/hyperlink" Target="https://login.consultant.ru/link/?req=doc&amp;base=LAW&amp;n=41812&amp;dst=100387" TargetMode="External"/><Relationship Id="rId46" Type="http://schemas.openxmlformats.org/officeDocument/2006/relationships/hyperlink" Target="https://login.consultant.ru/link/?req=doc&amp;base=LAW&amp;n=41812&amp;dst=100071" TargetMode="External"/><Relationship Id="rId47" Type="http://schemas.openxmlformats.org/officeDocument/2006/relationships/hyperlink" Target="https://login.consultant.ru/link/?req=doc&amp;base=LAW&amp;n=373204&amp;dst=100981" TargetMode="External"/><Relationship Id="rId48" Type="http://schemas.openxmlformats.org/officeDocument/2006/relationships/hyperlink" Target="https://login.consultant.ru/link/?req=doc&amp;base=LAW&amp;n=41812&amp;dst=101377" TargetMode="External"/><Relationship Id="rId49" Type="http://schemas.openxmlformats.org/officeDocument/2006/relationships/hyperlink" Target="https://login.consultant.ru/link/?req=doc&amp;base=LAW&amp;n=41812&amp;dst=101622" TargetMode="External"/><Relationship Id="rId50" Type="http://schemas.openxmlformats.org/officeDocument/2006/relationships/hyperlink" Target="https://login.consultant.ru/link/?req=doc&amp;base=LAW&amp;n=41812&amp;dst=101670" TargetMode="External"/><Relationship Id="rId51" Type="http://schemas.openxmlformats.org/officeDocument/2006/relationships/hyperlink" Target="https://login.consultant.ru/link/?req=doc&amp;base=LAW&amp;n=488463&amp;dst=100011" TargetMode="External"/><Relationship Id="rId52" Type="http://schemas.openxmlformats.org/officeDocument/2006/relationships/hyperlink" Target="https://login.consultant.ru/link/?req=doc&amp;base=LAW&amp;n=401404&amp;dst=100197" TargetMode="External"/><Relationship Id="rId53" Type="http://schemas.openxmlformats.org/officeDocument/2006/relationships/hyperlink" Target="https://login.consultant.ru/link/?req=doc&amp;base=LAW&amp;n=41812&amp;dst=101920" TargetMode="External"/><Relationship Id="rId54" Type="http://schemas.openxmlformats.org/officeDocument/2006/relationships/hyperlink" Target="https://login.consultant.ru/link/?req=doc&amp;base=LAW&amp;n=470975&amp;dst=62" TargetMode="External"/><Relationship Id="rId55" Type="http://schemas.openxmlformats.org/officeDocument/2006/relationships/hyperlink" Target="https://login.consultant.ru/link/?req=doc&amp;base=LAW&amp;n=44772&amp;dst=100173" TargetMode="External"/><Relationship Id="rId56" Type="http://schemas.openxmlformats.org/officeDocument/2006/relationships/hyperlink" Target="https://login.consultant.ru/link/?req=doc&amp;base=LAW&amp;n=44772&amp;dst=101009" TargetMode="External"/><Relationship Id="rId57" Type="http://schemas.openxmlformats.org/officeDocument/2006/relationships/hyperlink" Target="https://login.consultant.ru/link/?req=doc&amp;base=LAW&amp;n=441707&amp;dst=100137" TargetMode="External"/><Relationship Id="rId58" Type="http://schemas.openxmlformats.org/officeDocument/2006/relationships/hyperlink" Target="https://login.consultant.ru/link/?req=doc&amp;base=LAW&amp;n=441707&amp;dst=100137" TargetMode="Externa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1422</TotalTime>
  <Application>LibreOffice/7.6.4.1$Windows_X86_64 LibreOffice_project/e19e193f88cd6c0525a17fb7a176ed8e6a3e2aa1</Application>
  <AppVersion>15.0000</AppVersion>
  <Pages>6</Pages>
  <Words>3207</Words>
  <Characters>24312</Characters>
  <CharactersWithSpaces>27557</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2017-08-01T07:58:00Z</dcterms:created>
  <dc:creator>Чайников</dc:creator>
  <dc:description/>
  <dc:language>ru-RU</dc:language>
  <cp:lastModifiedBy>Чайников В.Н.</cp:lastModifiedBy>
  <cp:lastPrinted>2022-03-09T08:57:00Z</cp:lastPrinted>
  <dcterms:modified xsi:type="dcterms:W3CDTF">2025-04-04T02:45:00Z</dcterms:modified>
  <cp:revision>115</cp:revision>
  <dc:subject/>
  <dc:title/>
</cp:coreProperties>
</file>

<file path=docProps/custom.xml><?xml version="1.0" encoding="utf-8"?>
<Properties xmlns="http://schemas.openxmlformats.org/officeDocument/2006/custom-properties" xmlns:vt="http://schemas.openxmlformats.org/officeDocument/2006/docPropsVTypes"/>
</file>