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39" w:type="dxa"/>
        <w:jc w:val="left"/>
        <w:tblInd w:w="0" w:type="dxa"/>
        <w:tblLayout w:type="fixed"/>
        <w:tblCellMar>
          <w:top w:w="0" w:type="dxa"/>
          <w:left w:w="108" w:type="dxa"/>
          <w:bottom w:w="0" w:type="dxa"/>
          <w:right w:w="108" w:type="dxa"/>
        </w:tblCellMar>
      </w:tblPr>
      <w:tblGrid>
        <w:gridCol w:w="9639"/>
      </w:tblGrid>
      <w:tr>
        <w:trPr>
          <w:trHeight w:val="1984" w:hRule="atLeast"/>
        </w:trPr>
        <w:tc>
          <w:tcPr>
            <w:tcW w:w="9639" w:type="dxa"/>
            <w:tcBorders/>
          </w:tcPr>
          <w:p>
            <w:pPr>
              <w:pStyle w:val="Normal"/>
              <w:jc w:val="center"/>
              <w:rPr>
                <w:b/>
                <w:szCs w:val="28"/>
                <w:lang w:val="ru-RU" w:eastAsia="ru-RU"/>
              </w:rPr>
            </w:pPr>
            <w:bookmarkStart w:id="0" w:name="_Hlk115171399"/>
            <w:bookmarkEnd w:id="0"/>
            <w:r>
              <w:rPr>
                <w:b/>
                <w:szCs w:val="28"/>
                <w:lang w:val="ru-RU" w:eastAsia="ru-RU"/>
              </w:rPr>
              <w:drawing>
                <wp:inline distT="0" distB="0" distL="0" distR="0">
                  <wp:extent cx="504825" cy="742950"/>
                  <wp:effectExtent l="0" t="0" r="0" b="0"/>
                  <wp:docPr id="1" name="Рисунок 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3" descr=""/>
                          <pic:cNvPicPr>
                            <a:picLocks noChangeAspect="1" noChangeArrowheads="1"/>
                          </pic:cNvPicPr>
                        </pic:nvPicPr>
                        <pic:blipFill>
                          <a:blip r:embed="rId2"/>
                          <a:srcRect l="-71" t="-48" r="-71" b="-48"/>
                          <a:stretch>
                            <a:fillRect/>
                          </a:stretch>
                        </pic:blipFill>
                        <pic:spPr bwMode="auto">
                          <a:xfrm>
                            <a:off x="0" y="0"/>
                            <a:ext cx="504825" cy="742950"/>
                          </a:xfrm>
                          <a:prstGeom prst="rect">
                            <a:avLst/>
                          </a:prstGeom>
                        </pic:spPr>
                      </pic:pic>
                    </a:graphicData>
                  </a:graphic>
                </wp:inline>
              </w:drawing>
            </w:r>
          </w:p>
          <w:p>
            <w:pPr>
              <w:pStyle w:val="Normal"/>
              <w:jc w:val="center"/>
              <w:rPr>
                <w:b/>
                <w:szCs w:val="28"/>
                <w:lang w:val="ru-RU" w:eastAsia="ru-RU"/>
              </w:rPr>
            </w:pPr>
            <w:r>
              <w:rPr>
                <w:b/>
                <w:szCs w:val="28"/>
                <w:lang w:val="ru-RU" w:eastAsia="ru-RU"/>
              </w:rPr>
            </w:r>
          </w:p>
          <w:p>
            <w:pPr>
              <w:pStyle w:val="Normal"/>
              <w:jc w:val="center"/>
              <w:rPr>
                <w:szCs w:val="28"/>
              </w:rPr>
            </w:pPr>
            <w:bookmarkStart w:id="1" w:name="_Hlk115176197"/>
            <w:r>
              <w:rPr>
                <w:b/>
                <w:szCs w:val="28"/>
              </w:rPr>
              <w:t>АДМИНИСТРАЦИЯ ГОРОДА ШАРЫПОВО КРАСНОЯРСКОГО КРАЯ</w:t>
            </w:r>
            <w:bookmarkEnd w:id="1"/>
          </w:p>
          <w:p>
            <w:pPr>
              <w:pStyle w:val="Normal"/>
              <w:jc w:val="center"/>
              <w:rPr>
                <w:b/>
                <w:szCs w:val="28"/>
              </w:rPr>
            </w:pPr>
            <w:r>
              <w:rPr>
                <w:b/>
                <w:szCs w:val="28"/>
              </w:rPr>
            </w:r>
          </w:p>
        </w:tc>
      </w:tr>
    </w:tbl>
    <w:p>
      <w:pPr>
        <w:pStyle w:val="Normal"/>
        <w:jc w:val="center"/>
        <w:rPr>
          <w:b/>
        </w:rPr>
      </w:pPr>
      <w:r>
        <w:rPr>
          <w:b/>
        </w:rPr>
        <w:t>РАСПОРЯЖЕНИЕ</w:t>
      </w:r>
    </w:p>
    <w:p>
      <w:pPr>
        <w:pStyle w:val="Normal"/>
        <w:tabs>
          <w:tab w:val="clear" w:pos="708"/>
          <w:tab w:val="left" w:pos="4820" w:leader="none"/>
        </w:tabs>
        <w:rPr>
          <w:b/>
          <w:sz w:val="32"/>
          <w:szCs w:val="32"/>
        </w:rPr>
      </w:pPr>
      <w:r>
        <w:rPr>
          <w:b/>
          <w:sz w:val="32"/>
          <w:szCs w:val="32"/>
        </w:rPr>
      </w:r>
    </w:p>
    <w:tbl>
      <w:tblPr>
        <w:tblW w:w="9570" w:type="dxa"/>
        <w:jc w:val="left"/>
        <w:tblInd w:w="0" w:type="dxa"/>
        <w:tblLayout w:type="fixed"/>
        <w:tblCellMar>
          <w:top w:w="0" w:type="dxa"/>
          <w:left w:w="108" w:type="dxa"/>
          <w:bottom w:w="0" w:type="dxa"/>
          <w:right w:w="108" w:type="dxa"/>
        </w:tblCellMar>
      </w:tblPr>
      <w:tblGrid>
        <w:gridCol w:w="3190"/>
        <w:gridCol w:w="3190"/>
        <w:gridCol w:w="3190"/>
      </w:tblGrid>
      <w:tr>
        <w:trPr/>
        <w:tc>
          <w:tcPr>
            <w:tcW w:w="3190" w:type="dxa"/>
            <w:tcBorders/>
          </w:tcPr>
          <w:p>
            <w:pPr>
              <w:pStyle w:val="Normal"/>
              <w:rPr>
                <w:szCs w:val="28"/>
              </w:rPr>
            </w:pPr>
            <w:r>
              <w:rPr>
                <w:szCs w:val="28"/>
              </w:rPr>
              <w:t>01.04.2025</w:t>
            </w:r>
          </w:p>
        </w:tc>
        <w:tc>
          <w:tcPr>
            <w:tcW w:w="3190" w:type="dxa"/>
            <w:tcBorders/>
          </w:tcPr>
          <w:p>
            <w:pPr>
              <w:pStyle w:val="Normal"/>
              <w:snapToGrid w:val="false"/>
              <w:jc w:val="center"/>
              <w:rPr>
                <w:szCs w:val="28"/>
              </w:rPr>
            </w:pPr>
            <w:r>
              <w:rPr>
                <w:szCs w:val="28"/>
              </w:rPr>
            </w:r>
          </w:p>
        </w:tc>
        <w:tc>
          <w:tcPr>
            <w:tcW w:w="3190" w:type="dxa"/>
            <w:tcBorders/>
          </w:tcPr>
          <w:p>
            <w:pPr>
              <w:pStyle w:val="Normal"/>
              <w:jc w:val="center"/>
              <w:rPr>
                <w:szCs w:val="28"/>
              </w:rPr>
            </w:pPr>
            <w:r>
              <w:rPr>
                <w:szCs w:val="28"/>
              </w:rPr>
              <w:t xml:space="preserve">                            № </w:t>
            </w:r>
            <w:r>
              <w:rPr>
                <w:szCs w:val="28"/>
              </w:rPr>
              <w:t>367</w:t>
            </w:r>
          </w:p>
        </w:tc>
      </w:tr>
    </w:tbl>
    <w:p>
      <w:pPr>
        <w:pStyle w:val="Normal"/>
        <w:rPr>
          <w:szCs w:val="28"/>
        </w:rPr>
      </w:pPr>
      <w:r>
        <w:rPr>
          <w:szCs w:val="28"/>
        </w:rPr>
      </w:r>
    </w:p>
    <w:p>
      <w:pPr>
        <w:pStyle w:val="Style24"/>
        <w:ind w:right="-105"/>
        <w:rPr>
          <w:sz w:val="28"/>
          <w:szCs w:val="28"/>
        </w:rPr>
      </w:pPr>
      <w:r>
        <w:rPr>
          <w:sz w:val="28"/>
          <w:szCs w:val="28"/>
        </w:rPr>
        <w:t xml:space="preserve">О подготовке объектов жизнеобеспечения </w:t>
      </w:r>
    </w:p>
    <w:p>
      <w:pPr>
        <w:pStyle w:val="Style24"/>
        <w:ind w:right="-105"/>
        <w:rPr>
          <w:sz w:val="28"/>
          <w:szCs w:val="28"/>
        </w:rPr>
      </w:pPr>
      <w:r>
        <w:rPr>
          <w:sz w:val="28"/>
          <w:szCs w:val="28"/>
        </w:rPr>
        <w:t>городского округа города Шарыпово к работе</w:t>
      </w:r>
    </w:p>
    <w:p>
      <w:pPr>
        <w:pStyle w:val="Style24"/>
        <w:ind w:right="-105"/>
        <w:rPr/>
      </w:pPr>
      <w:r>
        <w:rPr>
          <w:sz w:val="28"/>
          <w:szCs w:val="28"/>
        </w:rPr>
        <w:t>в условиях осенне-зимнего периода 2025-2026 г.г.</w:t>
      </w:r>
    </w:p>
    <w:p>
      <w:pPr>
        <w:pStyle w:val="Normal"/>
        <w:rPr>
          <w:sz w:val="28"/>
          <w:szCs w:val="28"/>
        </w:rPr>
      </w:pPr>
      <w:r>
        <w:rPr>
          <w:sz w:val="28"/>
          <w:szCs w:val="28"/>
        </w:rPr>
      </w:r>
    </w:p>
    <w:p>
      <w:pPr>
        <w:pStyle w:val="Normal"/>
        <w:rPr>
          <w:szCs w:val="28"/>
        </w:rPr>
      </w:pPr>
      <w:r>
        <w:rPr>
          <w:szCs w:val="28"/>
        </w:rPr>
      </w:r>
    </w:p>
    <w:p>
      <w:pPr>
        <w:pStyle w:val="Normal"/>
        <w:rPr>
          <w:szCs w:val="28"/>
        </w:rPr>
      </w:pPr>
      <w:r>
        <w:rPr>
          <w:szCs w:val="28"/>
        </w:rPr>
      </w:r>
    </w:p>
    <w:p>
      <w:pPr>
        <w:pStyle w:val="ConsNormal"/>
        <w:widowControl/>
        <w:jc w:val="both"/>
        <w:rPr/>
      </w:pPr>
      <w:r>
        <w:rPr>
          <w:rFonts w:cs="Times New Roman" w:ascii="Times New Roman" w:hAnsi="Times New Roman"/>
          <w:sz w:val="28"/>
          <w:szCs w:val="28"/>
        </w:rPr>
        <w:t xml:space="preserve">В целях обеспечения своевременной и качественной подготовки объектов жизнеобеспечения, расположенных на территории городского округа города Шарыпово, к работе в условиях осенне-зимнего периода 2025-2026 г.г., оценки обеспечения готовности единой теплоснабжающей организации, потребителей тепловой энергии, управляющих организаций к отопительному периоду 2025-2026 г.г., в соответствии с Федеральным законом РФ от 27.07.2010 г. №190-ФЗ «О теплоснабжении», в Правилами обеспечения готовности к отопительному периоду, с Порядком проведения оценки обеспечения готовности к отопительному периоду, утвержденными приказом Минэнерго России от 13.11.2024 г. №2234, руководствуясь статьей 16 Федерального закона РФ от 6 октября 2003 года № 131-ФЗ "Об общих принципах организации местного самоуправления в Российской Федерации", </w:t>
      </w:r>
      <w:r>
        <w:rPr>
          <w:rFonts w:cs="Times New Roman" w:ascii="Times New Roman" w:hAnsi="Times New Roman"/>
          <w:color w:val="000000"/>
          <w:sz w:val="28"/>
          <w:szCs w:val="28"/>
        </w:rPr>
        <w:t>статьей 34 Устава города Шарыпово Красноярского края:</w:t>
      </w:r>
    </w:p>
    <w:p>
      <w:pPr>
        <w:pStyle w:val="ConsNormal"/>
        <w:widowControl/>
        <w:jc w:val="both"/>
        <w:rPr>
          <w:rFonts w:ascii="Times New Roman" w:hAnsi="Times New Roman" w:cs="Times New Roman"/>
          <w:sz w:val="28"/>
          <w:szCs w:val="28"/>
        </w:rPr>
      </w:pPr>
      <w:r>
        <w:rPr>
          <w:rFonts w:cs="Times New Roman" w:ascii="Times New Roman" w:hAnsi="Times New Roman"/>
          <w:color w:val="000000"/>
          <w:sz w:val="28"/>
          <w:szCs w:val="28"/>
        </w:rPr>
        <w:t xml:space="preserve">1. Осуществить подготовку городского округа города Шарыпово к отопительному периоду 2025-2026 г.г. на основании актуализированной схемы теплоснабжения городского округа города Шарыпово на период до 2038 года; утвержденного порядка (плана) действий по ликвидации последствий аварийных ситуаций в сфере теплоснабжения на территории городского округа города Шарыпово; </w:t>
      </w:r>
      <w:r>
        <w:rPr>
          <w:rFonts w:cs="Times New Roman" w:ascii="Times New Roman" w:hAnsi="Times New Roman"/>
          <w:sz w:val="28"/>
          <w:szCs w:val="28"/>
        </w:rPr>
        <w:t xml:space="preserve">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3">
        <w:r>
          <w:rPr>
            <w:rStyle w:val="Hyperlink"/>
            <w:rFonts w:cs="Times New Roman" w:ascii="Times New Roman" w:hAnsi="Times New Roman"/>
            <w:sz w:val="28"/>
            <w:szCs w:val="28"/>
          </w:rPr>
          <w:t>пункта 121</w:t>
        </w:r>
      </w:hyperlink>
      <w:r>
        <w:rPr>
          <w:rFonts w:cs="Times New Roman" w:ascii="Times New Roman" w:hAnsi="Times New Roman"/>
          <w:sz w:val="28"/>
          <w:szCs w:val="28"/>
        </w:rPr>
        <w:t xml:space="preserve"> Правил организации теплоснабжения в Российской Федерации, утвержденных Постановлением Правительства РФ от 08.08.2012 г. №808; </w:t>
      </w:r>
      <w:hyperlink r:id="rId4">
        <w:r>
          <w:rPr>
            <w:rStyle w:val="Hyperlink"/>
            <w:rFonts w:cs="Times New Roman" w:ascii="Times New Roman" w:hAnsi="Times New Roman"/>
            <w:sz w:val="28"/>
            <w:szCs w:val="28"/>
          </w:rPr>
          <w:t>требований</w:t>
        </w:r>
      </w:hyperlink>
      <w:r>
        <w:rPr>
          <w:rFonts w:cs="Times New Roman" w:ascii="Times New Roman" w:hAnsi="Times New Roman"/>
          <w:sz w:val="28"/>
          <w:szCs w:val="28"/>
        </w:rPr>
        <w:t xml:space="preserve"> безопасности в сфере теплоснабжения, установленных </w:t>
      </w:r>
      <w:hyperlink r:id="rId5">
        <w:r>
          <w:rPr>
            <w:rStyle w:val="Hyperlink"/>
            <w:rFonts w:cs="Times New Roman" w:ascii="Times New Roman" w:hAnsi="Times New Roman"/>
            <w:sz w:val="28"/>
            <w:szCs w:val="28"/>
          </w:rPr>
          <w:t>статьей 23.2</w:t>
        </w:r>
      </w:hyperlink>
      <w:r>
        <w:rPr>
          <w:rFonts w:cs="Times New Roman" w:ascii="Times New Roman" w:hAnsi="Times New Roman"/>
          <w:sz w:val="28"/>
          <w:szCs w:val="28"/>
        </w:rPr>
        <w:t xml:space="preserve"> Федерального закона</w:t>
      </w:r>
      <w:r>
        <w:rPr>
          <w:szCs w:val="28"/>
        </w:rPr>
        <w:t xml:space="preserve"> </w:t>
      </w:r>
      <w:r>
        <w:rPr>
          <w:rFonts w:cs="Times New Roman" w:ascii="Times New Roman" w:hAnsi="Times New Roman"/>
          <w:sz w:val="28"/>
          <w:szCs w:val="28"/>
        </w:rPr>
        <w:t>РФ от 27.07.2010 г. № 190-ФЗ "О теплоснабжении".</w:t>
      </w:r>
    </w:p>
    <w:p>
      <w:pPr>
        <w:pStyle w:val="ConsNormal"/>
        <w:widowControl/>
        <w:jc w:val="both"/>
        <w:rPr/>
      </w:pPr>
      <w:r>
        <w:rPr>
          <w:rFonts w:cs="Times New Roman" w:ascii="Times New Roman" w:hAnsi="Times New Roman"/>
          <w:sz w:val="28"/>
          <w:szCs w:val="28"/>
        </w:rPr>
        <w:t>2. Утвердить План мероприятий по подготовке объектов жизнеобеспечения городского округа города Шарыпово к работе в условиях осенне-зимнего периода 2025-2026 г.г. согласно Приложению №1.</w:t>
      </w:r>
    </w:p>
    <w:p>
      <w:pPr>
        <w:pStyle w:val="Normal"/>
        <w:shd w:fill="FFFFFF" w:val="clear"/>
        <w:ind w:firstLine="720" w:right="0"/>
        <w:jc w:val="both"/>
        <w:rPr/>
      </w:pPr>
      <w:r>
        <w:rPr>
          <w:color w:val="000000"/>
          <w:szCs w:val="28"/>
        </w:rPr>
        <w:t xml:space="preserve">3. Утвердить состав комиссии (оперативного штаба) </w:t>
      </w:r>
      <w:r>
        <w:rPr>
          <w:szCs w:val="28"/>
        </w:rPr>
        <w:t>по контролю за подготовкой объектов жизнеобеспечения городского округа города Шарыпово к работе в условиях осенне-зимнего периода 2025-2026 г.г.</w:t>
      </w:r>
      <w:r>
        <w:rPr>
          <w:color w:val="000000"/>
          <w:szCs w:val="28"/>
        </w:rPr>
        <w:t xml:space="preserve"> согласно Приложению №2.</w:t>
      </w:r>
    </w:p>
    <w:p>
      <w:pPr>
        <w:pStyle w:val="ConsNormal"/>
        <w:widowControl/>
        <w:jc w:val="both"/>
        <w:rPr>
          <w:rFonts w:ascii="Times New Roman" w:hAnsi="Times New Roman" w:cs="Times New Roman"/>
          <w:sz w:val="28"/>
          <w:szCs w:val="28"/>
        </w:rPr>
      </w:pPr>
      <w:r>
        <w:rPr>
          <w:rFonts w:cs="Times New Roman" w:ascii="Times New Roman" w:hAnsi="Times New Roman"/>
          <w:sz w:val="28"/>
          <w:szCs w:val="28"/>
        </w:rPr>
        <w:t>4.Рекомендовать руководителям предприятий и организаций социальной сферы (КГБУЗ «Шарыповская ЦРБ», Управление образованием Администрации города Шарыпово, Отдел спорта и молодежной политики Администрации города Шарыпово, Отдел культуры Администрации города Шарыпово)</w:t>
      </w:r>
      <w:r>
        <w:rPr>
          <w:rFonts w:cs="Times New Roman" w:ascii="Times New Roman" w:hAnsi="Times New Roman"/>
          <w:szCs w:val="28"/>
        </w:rPr>
        <w:t xml:space="preserve"> </w:t>
      </w:r>
      <w:r>
        <w:rPr>
          <w:rFonts w:cs="Times New Roman" w:ascii="Times New Roman" w:hAnsi="Times New Roman"/>
          <w:sz w:val="28"/>
          <w:szCs w:val="28"/>
        </w:rPr>
        <w:t>обеспечить разработку плана мероприятий по подготовке подведомственных объектов социальной сферы к работе в осенне-зимний период 2025-2026 г.г.  в срок до 01.05.2025 г.</w:t>
      </w:r>
    </w:p>
    <w:p>
      <w:pPr>
        <w:pStyle w:val="ConsNormal"/>
        <w:widowControl/>
        <w:jc w:val="both"/>
        <w:rPr>
          <w:rFonts w:ascii="Times New Roman" w:hAnsi="Times New Roman" w:cs="Times New Roman"/>
          <w:sz w:val="28"/>
          <w:szCs w:val="28"/>
        </w:rPr>
      </w:pPr>
      <w:r>
        <w:rPr>
          <w:rFonts w:cs="Times New Roman" w:ascii="Times New Roman" w:hAnsi="Times New Roman"/>
          <w:sz w:val="28"/>
          <w:szCs w:val="28"/>
        </w:rPr>
        <w:t>5. Утвердить перечень теплоснабжающих и теплосетевых организаций, осуществляющих деятельность в сфере теплоснабжения на территории городского округа города Шарыпово согласно Приложению №3.</w:t>
      </w:r>
    </w:p>
    <w:p>
      <w:pPr>
        <w:pStyle w:val="ConsNormal"/>
        <w:widowControl/>
        <w:jc w:val="both"/>
        <w:rPr/>
      </w:pPr>
      <w:r>
        <w:rPr>
          <w:rFonts w:cs="Times New Roman" w:ascii="Times New Roman" w:hAnsi="Times New Roman"/>
          <w:sz w:val="28"/>
          <w:szCs w:val="28"/>
        </w:rPr>
        <w:t>6. Утвердить перечень потребителей тепловой энергии, управляющих организаций, расположенных на территории городского округа города Шарыпово, согласно Приложению №4.</w:t>
      </w:r>
    </w:p>
    <w:p>
      <w:pPr>
        <w:pStyle w:val="ConsNormal"/>
        <w:widowControl/>
        <w:jc w:val="both"/>
        <w:rPr>
          <w:rFonts w:ascii="Times New Roman" w:hAnsi="Times New Roman" w:cs="Times New Roman"/>
          <w:sz w:val="28"/>
          <w:szCs w:val="28"/>
        </w:rPr>
      </w:pPr>
      <w:r>
        <w:rPr>
          <w:rFonts w:cs="Times New Roman" w:ascii="Times New Roman" w:hAnsi="Times New Roman"/>
          <w:sz w:val="28"/>
          <w:szCs w:val="28"/>
        </w:rPr>
        <w:t>7. Утвердить Положение о комиссии по оценке обеспечения готовности единой теплоснабжающей организации, потребителей тепловой энергии, управляющих организаций городского округа города Шарыпово к отопительному периоду 2025-2026 г.г. согласно Приложению №5.</w:t>
      </w:r>
    </w:p>
    <w:p>
      <w:pPr>
        <w:pStyle w:val="ConsNormal"/>
        <w:widowControl/>
        <w:jc w:val="both"/>
        <w:rPr>
          <w:rFonts w:ascii="Times New Roman" w:hAnsi="Times New Roman" w:cs="Times New Roman"/>
          <w:sz w:val="28"/>
          <w:szCs w:val="28"/>
        </w:rPr>
      </w:pPr>
      <w:r>
        <w:rPr>
          <w:rFonts w:cs="Times New Roman" w:ascii="Times New Roman" w:hAnsi="Times New Roman"/>
          <w:sz w:val="28"/>
          <w:szCs w:val="28"/>
        </w:rPr>
        <w:t>8. Утвердить состав комиссии по оценке обеспечения готовности единой теплоснабжающей организации городского округа города Шарыпово к отопительному периоду 2025-2026 г.г. согласно Приложению №6.</w:t>
      </w:r>
    </w:p>
    <w:p>
      <w:pPr>
        <w:pStyle w:val="ConsNormal"/>
        <w:widowControl/>
        <w:jc w:val="both"/>
        <w:rPr>
          <w:rFonts w:ascii="Times New Roman" w:hAnsi="Times New Roman" w:cs="Times New Roman"/>
          <w:sz w:val="28"/>
          <w:szCs w:val="28"/>
        </w:rPr>
      </w:pPr>
      <w:r>
        <w:rPr>
          <w:rFonts w:cs="Times New Roman" w:ascii="Times New Roman" w:hAnsi="Times New Roman"/>
          <w:sz w:val="28"/>
          <w:szCs w:val="28"/>
        </w:rPr>
        <w:t>9. Утвердить состав комиссии по оценке обеспечения готовности потребителей тепловой энергии, управляющих организаций, расположенных на территории городского округа города Шарыпово, к отопительному периоду 2025-2026 г.г. согласно Приложению №7.</w:t>
      </w:r>
    </w:p>
    <w:p>
      <w:pPr>
        <w:pStyle w:val="ConsNormal"/>
        <w:widowControl/>
        <w:jc w:val="both"/>
        <w:rPr/>
      </w:pPr>
      <w:r>
        <w:rPr>
          <w:rFonts w:cs="Times New Roman" w:ascii="Times New Roman" w:hAnsi="Times New Roman"/>
          <w:sz w:val="28"/>
          <w:szCs w:val="28"/>
        </w:rPr>
        <w:t>10. Утвердить Программу проведения оценки готовности единой теплоснабжающей организации городского округа города Шарыпово к отопительному периоду 2025-2026 г.г. согласно Приложению №8.</w:t>
      </w:r>
    </w:p>
    <w:p>
      <w:pPr>
        <w:pStyle w:val="ConsNormal"/>
        <w:widowControl/>
        <w:jc w:val="both"/>
        <w:rPr>
          <w:rFonts w:ascii="Times New Roman" w:hAnsi="Times New Roman" w:cs="Times New Roman"/>
          <w:sz w:val="28"/>
          <w:szCs w:val="28"/>
        </w:rPr>
      </w:pPr>
      <w:r>
        <w:rPr>
          <w:rFonts w:cs="Times New Roman" w:ascii="Times New Roman" w:hAnsi="Times New Roman"/>
          <w:sz w:val="28"/>
          <w:szCs w:val="28"/>
        </w:rPr>
        <w:t>11. Утвердить Программу проведения оценки обеспечения готовности потребителей тепловой энергии, управляющих организаций, эксплуатирующих организаций, расположенных на территории городского округа города Шарыпово, к отопительному периоду 2025-2026 г.г. согласно Приложению №9.</w:t>
      </w:r>
    </w:p>
    <w:p>
      <w:pPr>
        <w:pStyle w:val="ConsNormal"/>
        <w:widowControl/>
        <w:jc w:val="both"/>
        <w:rPr/>
      </w:pPr>
      <w:r>
        <w:rPr>
          <w:rFonts w:cs="Times New Roman" w:ascii="Times New Roman" w:hAnsi="Times New Roman"/>
          <w:sz w:val="28"/>
          <w:szCs w:val="28"/>
        </w:rPr>
        <w:t>12. Утвердить график проведения оценки обеспечения готовности единой теплоснабжающей организации городского округа города Шарыпово к отопительному периоду 2025-2026 г.г. согласно Приложению №10.</w:t>
      </w:r>
    </w:p>
    <w:p>
      <w:pPr>
        <w:pStyle w:val="ConsNormal"/>
        <w:widowControl/>
        <w:jc w:val="both"/>
        <w:rPr>
          <w:rFonts w:ascii="Times New Roman" w:hAnsi="Times New Roman" w:cs="Times New Roman"/>
          <w:sz w:val="28"/>
          <w:szCs w:val="28"/>
        </w:rPr>
      </w:pPr>
      <w:r>
        <w:rPr>
          <w:rFonts w:cs="Times New Roman" w:ascii="Times New Roman" w:hAnsi="Times New Roman"/>
          <w:sz w:val="28"/>
          <w:szCs w:val="28"/>
        </w:rPr>
        <w:t>13. Утвердить график проведения оценки обеспечения готовности потребителей тепловой энергии, управляющих организаций, расположенных на территории городского округа города Шарыпово к отопительному периоду 2025-2026 г.г. согласно Приложению №11.</w:t>
      </w:r>
    </w:p>
    <w:p>
      <w:pPr>
        <w:pStyle w:val="Normal"/>
        <w:shd w:fill="FFFFFF" w:val="clear"/>
        <w:ind w:firstLine="720" w:right="0"/>
        <w:jc w:val="both"/>
        <w:rPr>
          <w:szCs w:val="28"/>
        </w:rPr>
      </w:pPr>
      <w:r>
        <w:rPr>
          <w:szCs w:val="28"/>
        </w:rPr>
        <w:t xml:space="preserve">14. Рекомендовать филиалу «Березовская ГРЭС» ПАО «Юнипро» (Казарину Д.И.) обеспечить в отношении объектов по производству тепловой и электрической энергии в режиме комбинированной выработки получение документа о готовности к отопительному сезону в соответствии с законодательством об электроэнергетике. </w:t>
      </w:r>
    </w:p>
    <w:p>
      <w:pPr>
        <w:pStyle w:val="Normal"/>
        <w:shd w:fill="FFFFFF" w:val="clear"/>
        <w:ind w:firstLine="720" w:right="0"/>
        <w:jc w:val="both"/>
        <w:rPr/>
      </w:pPr>
      <w:r>
        <w:rPr>
          <w:szCs w:val="28"/>
        </w:rPr>
        <w:t>15. Рекомендовать филиалу «Березовская ГРЭС» ПАО «Юнипро» (Казарину Д.И.) обеспечить расчет индексов готовности и проверку оценочных листов потребителей тепловой энергии, управляющих организаций, расположенных на территории городского округа города Шарыпово в соответствии с требованиями Правил обеспечения готовности к отопительному периоду, Порядка проведения оценки обеспечения готовности к отопительному периоду, утвержденных приказом Минэнерго России от 13.11.2024 г. №2234.</w:t>
      </w:r>
    </w:p>
    <w:p>
      <w:pPr>
        <w:pStyle w:val="Normal"/>
        <w:shd w:fill="FFFFFF" w:val="clear"/>
        <w:ind w:firstLine="720" w:right="0"/>
        <w:jc w:val="both"/>
        <w:rPr/>
      </w:pPr>
      <w:r>
        <w:rPr>
          <w:szCs w:val="28"/>
        </w:rPr>
        <w:t>16. Рекомендовать филиалу «Березовская ГРЭС» ПАО «Юнипро» (Казарину Д.И.) обеспечить разработку и утверждение Плана подготовки к отопительному периоду 2025-2026 г.г. в соответствии с требованиями Правил обеспечения готовности к отопительному периоду, утвержденных приказом Минэнерго России от 13.11.2024 г. №2234.</w:t>
      </w:r>
    </w:p>
    <w:p>
      <w:pPr>
        <w:pStyle w:val="Normal"/>
        <w:shd w:fill="FFFFFF" w:val="clear"/>
        <w:ind w:firstLine="720" w:right="0"/>
        <w:jc w:val="both"/>
        <w:rPr>
          <w:szCs w:val="28"/>
        </w:rPr>
      </w:pPr>
      <w:r>
        <w:rPr>
          <w:szCs w:val="28"/>
        </w:rPr>
        <w:t>17. Рекомендовать ООО «УК Восточная» (Назарец Н.Н.), ООО «УК Западная» (Назарец Н.Н.), ООО «УК «Вера» (Сазоновой С.А.), ООО «ПЖКХ г.Шарыпово» (Натарову А.А.), ООО «ДРЭУ» (Лигусу В.П.), ООО «УК Инновация» (Шабаевой И.В.) ООО «КАТЭКЖилСервис» (Шабаевой И.В.), ООО «Меридиан» (Разважаевой Т.А.) обеспечить разработку и утверждение Плана подготовки к отопительному периоду 2025-2026 г.г. в соответствии с требованиями Правил обеспечения готовности к отопительному периоду, утвержденных приказом Минэнерго России от 13.11.2024 г. №2234.</w:t>
      </w:r>
    </w:p>
    <w:p>
      <w:pPr>
        <w:pStyle w:val="Normal"/>
        <w:ind w:firstLine="708" w:right="0"/>
        <w:jc w:val="both"/>
        <w:rPr>
          <w:szCs w:val="28"/>
        </w:rPr>
      </w:pPr>
      <w:r>
        <w:rPr>
          <w:color w:val="000000"/>
          <w:szCs w:val="28"/>
        </w:rPr>
        <w:t>18. Контроль за исполнением настоящего распоряжения возложить на первого заместителя Главы города Шарыпово Д.В. Саюшева.</w:t>
      </w:r>
    </w:p>
    <w:p>
      <w:pPr>
        <w:pStyle w:val="Normal"/>
        <w:spacing w:lineRule="atLeast" w:line="240"/>
        <w:jc w:val="both"/>
        <w:rPr>
          <w:szCs w:val="28"/>
          <w:lang w:eastAsia="en-US"/>
        </w:rPr>
      </w:pPr>
      <w:r>
        <w:rPr>
          <w:color w:val="000000"/>
          <w:szCs w:val="28"/>
        </w:rPr>
        <w:tab/>
        <w:t xml:space="preserve">19. </w:t>
      </w:r>
      <w:r>
        <w:rPr>
          <w:szCs w:val="28"/>
        </w:rPr>
        <w:t>Распоряжение вступает в силу со дня подписания и подлежит размещению на официальном сайте муниципального образования города Шарыпово Красноярского края (</w:t>
      </w:r>
      <w:hyperlink r:id="rId6">
        <w:r>
          <w:rPr>
            <w:rStyle w:val="Hyperlink"/>
            <w:color w:val="000000"/>
            <w:szCs w:val="28"/>
            <w:lang w:val="en-US" w:eastAsia="en-US"/>
          </w:rPr>
          <w:t>https</w:t>
        </w:r>
        <w:r>
          <w:rPr>
            <w:rStyle w:val="Hyperlink"/>
            <w:color w:val="000000"/>
            <w:szCs w:val="28"/>
            <w:lang w:eastAsia="en-US"/>
          </w:rPr>
          <w:t>://</w:t>
        </w:r>
        <w:r>
          <w:rPr>
            <w:rStyle w:val="Hyperlink"/>
            <w:color w:val="000000"/>
            <w:szCs w:val="28"/>
            <w:lang w:val="en-US" w:eastAsia="en-US"/>
          </w:rPr>
          <w:t>sharypovo</w:t>
        </w:r>
        <w:r>
          <w:rPr>
            <w:rStyle w:val="Hyperlink"/>
            <w:color w:val="000000"/>
            <w:szCs w:val="28"/>
            <w:lang w:eastAsia="en-US"/>
          </w:rPr>
          <w:t>.</w:t>
        </w:r>
        <w:r>
          <w:rPr>
            <w:rStyle w:val="Hyperlink"/>
            <w:color w:val="000000"/>
            <w:szCs w:val="28"/>
            <w:lang w:val="en-US" w:eastAsia="en-US"/>
          </w:rPr>
          <w:t>gosuslugi</w:t>
        </w:r>
        <w:r>
          <w:rPr>
            <w:rStyle w:val="Hyperlink"/>
            <w:color w:val="000000"/>
            <w:szCs w:val="28"/>
            <w:lang w:eastAsia="en-US"/>
          </w:rPr>
          <w:t>.</w:t>
        </w:r>
        <w:r>
          <w:rPr>
            <w:rStyle w:val="Hyperlink"/>
            <w:color w:val="000000"/>
            <w:szCs w:val="28"/>
            <w:lang w:val="en-US" w:eastAsia="en-US"/>
          </w:rPr>
          <w:t>ru</w:t>
        </w:r>
      </w:hyperlink>
      <w:r>
        <w:rPr>
          <w:rStyle w:val="Hyperlink"/>
          <w:color w:val="000000"/>
          <w:szCs w:val="28"/>
          <w:u w:val="none"/>
          <w:lang w:eastAsia="en-US"/>
        </w:rPr>
        <w:t>).</w:t>
      </w:r>
    </w:p>
    <w:p>
      <w:pPr>
        <w:pStyle w:val="Normal"/>
        <w:ind w:firstLine="708" w:right="0"/>
        <w:jc w:val="both"/>
        <w:rPr>
          <w:szCs w:val="28"/>
          <w:lang w:eastAsia="en-US"/>
        </w:rPr>
      </w:pPr>
      <w:r>
        <w:rPr>
          <w:szCs w:val="28"/>
          <w:lang w:eastAsia="en-US"/>
        </w:rPr>
      </w:r>
    </w:p>
    <w:p>
      <w:pPr>
        <w:pStyle w:val="Normal"/>
        <w:ind w:firstLine="708" w:right="0"/>
        <w:jc w:val="both"/>
        <w:rPr>
          <w:szCs w:val="28"/>
        </w:rPr>
      </w:pPr>
      <w:r>
        <w:rPr>
          <w:szCs w:val="28"/>
        </w:rPr>
      </w:r>
    </w:p>
    <w:p>
      <w:pPr>
        <w:pStyle w:val="Normal"/>
        <w:ind w:firstLine="708" w:right="0"/>
        <w:jc w:val="both"/>
        <w:rPr>
          <w:szCs w:val="28"/>
        </w:rPr>
      </w:pPr>
      <w:r>
        <w:rPr>
          <w:szCs w:val="28"/>
        </w:rPr>
        <w:t xml:space="preserve"> </w:t>
      </w:r>
    </w:p>
    <w:p>
      <w:pPr>
        <w:pStyle w:val="Normal"/>
        <w:jc w:val="both"/>
        <w:rPr>
          <w:szCs w:val="28"/>
        </w:rPr>
      </w:pPr>
      <w:r>
        <w:rPr>
          <w:szCs w:val="28"/>
        </w:rPr>
      </w:r>
    </w:p>
    <w:tbl>
      <w:tblPr>
        <w:tblW w:w="9571" w:type="dxa"/>
        <w:jc w:val="left"/>
        <w:tblInd w:w="0" w:type="dxa"/>
        <w:tblLayout w:type="fixed"/>
        <w:tblCellMar>
          <w:top w:w="0" w:type="dxa"/>
          <w:left w:w="108" w:type="dxa"/>
          <w:bottom w:w="0" w:type="dxa"/>
          <w:right w:w="108" w:type="dxa"/>
        </w:tblCellMar>
      </w:tblPr>
      <w:tblGrid>
        <w:gridCol w:w="3190"/>
        <w:gridCol w:w="3190"/>
        <w:gridCol w:w="3191"/>
      </w:tblGrid>
      <w:tr>
        <w:trPr/>
        <w:tc>
          <w:tcPr>
            <w:tcW w:w="3190" w:type="dxa"/>
            <w:tcBorders/>
          </w:tcPr>
          <w:p>
            <w:pPr>
              <w:pStyle w:val="Normal"/>
              <w:widowControl w:val="false"/>
              <w:autoSpaceDE w:val="false"/>
              <w:spacing w:lineRule="exact" w:line="322"/>
              <w:ind w:right="5"/>
              <w:jc w:val="both"/>
              <w:rPr>
                <w:bCs/>
                <w:szCs w:val="28"/>
              </w:rPr>
            </w:pPr>
            <w:r>
              <w:rPr>
                <w:bCs/>
                <w:szCs w:val="28"/>
              </w:rPr>
              <w:t>Глава города Шарыпово</w:t>
            </w:r>
          </w:p>
        </w:tc>
        <w:tc>
          <w:tcPr>
            <w:tcW w:w="3190" w:type="dxa"/>
            <w:tcBorders/>
          </w:tcPr>
          <w:p>
            <w:pPr>
              <w:pStyle w:val="Normal"/>
              <w:widowControl w:val="false"/>
              <w:autoSpaceDE w:val="false"/>
              <w:snapToGrid w:val="false"/>
              <w:spacing w:lineRule="exact" w:line="322"/>
              <w:ind w:right="5"/>
              <w:jc w:val="both"/>
              <w:rPr>
                <w:bCs/>
                <w:szCs w:val="28"/>
              </w:rPr>
            </w:pPr>
            <w:r>
              <w:rPr>
                <w:bCs/>
                <w:szCs w:val="28"/>
              </w:rPr>
            </w:r>
          </w:p>
        </w:tc>
        <w:tc>
          <w:tcPr>
            <w:tcW w:w="3191" w:type="dxa"/>
            <w:tcBorders/>
          </w:tcPr>
          <w:p>
            <w:pPr>
              <w:pStyle w:val="Normal"/>
              <w:widowControl w:val="false"/>
              <w:autoSpaceDE w:val="false"/>
              <w:spacing w:lineRule="exact" w:line="322"/>
              <w:ind w:right="5"/>
              <w:jc w:val="right"/>
              <w:rPr>
                <w:bCs/>
                <w:szCs w:val="28"/>
              </w:rPr>
            </w:pPr>
            <w:r>
              <w:rPr>
                <w:bCs/>
                <w:szCs w:val="28"/>
              </w:rPr>
              <w:t>В.Г. Хохлов</w:t>
            </w:r>
          </w:p>
        </w:tc>
      </w:tr>
    </w:tbl>
    <w:p>
      <w:pPr>
        <w:pStyle w:val="Normal"/>
        <w:jc w:val="both"/>
        <w:rPr>
          <w:szCs w:val="28"/>
        </w:rPr>
      </w:pPr>
      <w:r>
        <w:rPr>
          <w:szCs w:val="28"/>
        </w:rPr>
      </w:r>
    </w:p>
    <w:p>
      <w:pPr>
        <w:pStyle w:val="Normal"/>
        <w:jc w:val="both"/>
        <w:rPr>
          <w:szCs w:val="28"/>
        </w:rPr>
      </w:pPr>
      <w:r>
        <w:rPr>
          <w:szCs w:val="28"/>
        </w:rPr>
      </w:r>
    </w:p>
    <w:p>
      <w:pPr>
        <w:pStyle w:val="Normal"/>
        <w:jc w:val="both"/>
        <w:rPr>
          <w:szCs w:val="28"/>
        </w:rPr>
      </w:pPr>
      <w:r>
        <w:rPr>
          <w:szCs w:val="28"/>
        </w:rPr>
      </w:r>
    </w:p>
    <w:tbl>
      <w:tblPr>
        <w:tblW w:w="9571" w:type="dxa"/>
        <w:jc w:val="left"/>
        <w:tblInd w:w="0" w:type="dxa"/>
        <w:tblLayout w:type="fixed"/>
        <w:tblCellMar>
          <w:top w:w="0" w:type="dxa"/>
          <w:left w:w="108" w:type="dxa"/>
          <w:bottom w:w="0" w:type="dxa"/>
          <w:right w:w="108" w:type="dxa"/>
        </w:tblCellMar>
      </w:tblPr>
      <w:tblGrid>
        <w:gridCol w:w="3190"/>
        <w:gridCol w:w="3190"/>
        <w:gridCol w:w="3191"/>
      </w:tblGrid>
      <w:tr>
        <w:trPr/>
        <w:tc>
          <w:tcPr>
            <w:tcW w:w="3190" w:type="dxa"/>
            <w:tcBorders/>
          </w:tcPr>
          <w:p>
            <w:pPr>
              <w:pStyle w:val="Normal"/>
              <w:widowControl w:val="false"/>
              <w:autoSpaceDE w:val="false"/>
              <w:snapToGrid w:val="false"/>
              <w:spacing w:lineRule="exact" w:line="322"/>
              <w:ind w:right="5"/>
              <w:jc w:val="both"/>
              <w:rPr>
                <w:bCs/>
                <w:szCs w:val="28"/>
              </w:rPr>
            </w:pPr>
            <w:r>
              <w:rPr>
                <w:bCs/>
                <w:szCs w:val="28"/>
              </w:rPr>
            </w:r>
          </w:p>
        </w:tc>
        <w:tc>
          <w:tcPr>
            <w:tcW w:w="3190" w:type="dxa"/>
            <w:tcBorders/>
          </w:tcPr>
          <w:p>
            <w:pPr>
              <w:pStyle w:val="Normal"/>
              <w:widowControl w:val="false"/>
              <w:autoSpaceDE w:val="false"/>
              <w:snapToGrid w:val="false"/>
              <w:spacing w:lineRule="exact" w:line="322"/>
              <w:ind w:right="5"/>
              <w:jc w:val="both"/>
              <w:rPr>
                <w:bCs/>
                <w:szCs w:val="28"/>
              </w:rPr>
            </w:pPr>
            <w:r>
              <w:rPr>
                <w:bCs/>
                <w:szCs w:val="28"/>
              </w:rPr>
            </w:r>
          </w:p>
        </w:tc>
        <w:tc>
          <w:tcPr>
            <w:tcW w:w="3191" w:type="dxa"/>
            <w:tcBorders/>
          </w:tcPr>
          <w:p>
            <w:pPr>
              <w:pStyle w:val="Normal"/>
              <w:widowControl w:val="false"/>
              <w:autoSpaceDE w:val="false"/>
              <w:snapToGrid w:val="false"/>
              <w:spacing w:lineRule="exact" w:line="322"/>
              <w:ind w:right="5"/>
              <w:jc w:val="right"/>
              <w:rPr>
                <w:bCs/>
                <w:szCs w:val="28"/>
              </w:rPr>
            </w:pPr>
            <w:r>
              <w:rPr>
                <w:bCs/>
                <w:szCs w:val="28"/>
              </w:rPr>
            </w:r>
          </w:p>
        </w:tc>
      </w:tr>
      <w:tr>
        <w:trPr/>
        <w:tc>
          <w:tcPr>
            <w:tcW w:w="3190" w:type="dxa"/>
            <w:tcBorders/>
          </w:tcPr>
          <w:p>
            <w:pPr>
              <w:pStyle w:val="Normal"/>
              <w:widowControl w:val="false"/>
              <w:autoSpaceDE w:val="false"/>
              <w:snapToGrid w:val="false"/>
              <w:spacing w:lineRule="exact" w:line="322"/>
              <w:ind w:right="5"/>
              <w:jc w:val="both"/>
              <w:rPr>
                <w:bCs/>
                <w:szCs w:val="28"/>
              </w:rPr>
            </w:pPr>
            <w:r>
              <w:rPr>
                <w:bCs/>
                <w:szCs w:val="28"/>
              </w:rPr>
            </w:r>
          </w:p>
        </w:tc>
        <w:tc>
          <w:tcPr>
            <w:tcW w:w="3190" w:type="dxa"/>
            <w:tcBorders/>
          </w:tcPr>
          <w:p>
            <w:pPr>
              <w:pStyle w:val="Normal"/>
              <w:widowControl w:val="false"/>
              <w:autoSpaceDE w:val="false"/>
              <w:snapToGrid w:val="false"/>
              <w:spacing w:lineRule="exact" w:line="322"/>
              <w:ind w:right="5"/>
              <w:jc w:val="both"/>
              <w:rPr>
                <w:bCs/>
                <w:szCs w:val="28"/>
              </w:rPr>
            </w:pPr>
            <w:r>
              <w:rPr>
                <w:bCs/>
                <w:szCs w:val="28"/>
              </w:rPr>
            </w:r>
          </w:p>
        </w:tc>
        <w:tc>
          <w:tcPr>
            <w:tcW w:w="3191" w:type="dxa"/>
            <w:tcBorders/>
          </w:tcPr>
          <w:p>
            <w:pPr>
              <w:pStyle w:val="Normal"/>
              <w:widowControl w:val="false"/>
              <w:autoSpaceDE w:val="false"/>
              <w:snapToGrid w:val="false"/>
              <w:spacing w:lineRule="exact" w:line="322"/>
              <w:ind w:right="5"/>
              <w:jc w:val="right"/>
              <w:rPr>
                <w:bCs/>
                <w:szCs w:val="28"/>
              </w:rPr>
            </w:pPr>
            <w:r>
              <w:rPr>
                <w:bCs/>
                <w:szCs w:val="28"/>
              </w:rPr>
            </w:r>
          </w:p>
        </w:tc>
      </w:tr>
    </w:tbl>
    <w:p>
      <w:pPr>
        <w:pStyle w:val="Normal"/>
        <w:widowControl w:val="false"/>
        <w:shd w:fill="FFFFFF" w:val="clear"/>
        <w:autoSpaceDE w:val="false"/>
        <w:spacing w:lineRule="exact" w:line="322"/>
        <w:ind w:right="5"/>
        <w:jc w:val="both"/>
        <w:rPr>
          <w:bCs/>
          <w:szCs w:val="28"/>
        </w:rPr>
      </w:pPr>
      <w:r>
        <w:rPr>
          <w:bCs/>
          <w:szCs w:val="28"/>
        </w:rPr>
        <w:tab/>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swiss"/>
    <w:pitch w:val="variable"/>
  </w:font>
  <w:font w:name="Liberation Sans">
    <w:altName w:val="Arial"/>
    <w:charset w:val="cc"/>
    <w:family w:val="swiss"/>
    <w:pitch w:val="variable"/>
  </w:font>
  <w:font w:name="Courier New">
    <w:charset w:val="cc"/>
    <w:family w:val="modern"/>
    <w:pitch w:val="default"/>
  </w:font>
  <w:font w:name="Arial">
    <w:charset w:val="cc"/>
    <w:family w:val="swiss"/>
    <w:pitch w:val="variable"/>
  </w:font>
  <w:font w:name="Calibri">
    <w:charset w:val="cc"/>
    <w:family w:val="swiss"/>
    <w:pitch w:val="variable"/>
  </w:font>
</w:fonts>
</file>

<file path=word/settings.xml><?xml version="1.0" encoding="utf-8"?>
<w:settings xmlns:w="http://schemas.openxmlformats.org/wordprocessingml/2006/main">
  <w:zoom w:percent="100"/>
  <w:defaultTabStop w:val="708"/>
  <w:mailMerge>
    <w:mainDocumentType w:val="formLetters"/>
    <w:dataType w:val="textFile"/>
    <w:query w:val="SELECT * FROM Адреса.dbo.СВО-2025-янв$"/>
  </w:mailMerge>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8"/>
      <w:szCs w:val="24"/>
      <w:lang w:val="ru-RU" w:bidi="ar-SA" w:eastAsia="zh-CN"/>
    </w:rPr>
  </w:style>
  <w:style w:type="character" w:styleId="WW8Num1z0">
    <w:name w:val="WW8Num1z0"/>
    <w:qFormat/>
    <w:rPr/>
  </w:style>
  <w:style w:type="character" w:styleId="WW8Num2z0">
    <w:name w:val="WW8Num2z0"/>
    <w:qFormat/>
    <w:rPr/>
  </w:style>
  <w:style w:type="character" w:styleId="Style14">
    <w:name w:val="Основной шрифт абзаца"/>
    <w:qFormat/>
    <w:rPr/>
  </w:style>
  <w:style w:type="character" w:styleId="Style15">
    <w:name w:val="Верхний колонтитул Знак"/>
    <w:qFormat/>
    <w:rPr>
      <w:sz w:val="28"/>
      <w:szCs w:val="24"/>
    </w:rPr>
  </w:style>
  <w:style w:type="character" w:styleId="Style16">
    <w:name w:val="Нижний колонтитул Знак"/>
    <w:qFormat/>
    <w:rPr>
      <w:sz w:val="28"/>
      <w:szCs w:val="24"/>
    </w:rPr>
  </w:style>
  <w:style w:type="character" w:styleId="Style17">
    <w:name w:val="Текст выноски Знак"/>
    <w:qFormat/>
    <w:rPr>
      <w:rFonts w:ascii="Tahoma" w:hAnsi="Tahoma" w:cs="Tahoma"/>
      <w:sz w:val="16"/>
      <w:szCs w:val="16"/>
    </w:rPr>
  </w:style>
  <w:style w:type="character" w:styleId="Hyperlink">
    <w:name w:val="Hyperlink"/>
    <w:rPr>
      <w:color w:val="0000FF"/>
      <w:u w:val="single"/>
    </w:rPr>
  </w:style>
  <w:style w:type="character" w:styleId="Style18">
    <w:name w:val="Основной текст с отступом Знак"/>
    <w:qFormat/>
    <w:rPr>
      <w:b/>
      <w:sz w:val="28"/>
      <w:shd w:fill="FFFFFF" w:val="clear"/>
    </w:rPr>
  </w:style>
  <w:style w:type="character" w:styleId="Style19">
    <w:name w:val="Основной текст Знак"/>
    <w:basedOn w:val="Style14"/>
    <w:qFormat/>
    <w:rPr/>
  </w:style>
  <w:style w:type="paragraph" w:styleId="Style20">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20"/>
    </w:pPr>
    <w:rPr>
      <w:sz w:val="20"/>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onsPlusTitle">
    <w:name w:val="ConsPlusTitle"/>
    <w:qFormat/>
    <w:pPr>
      <w:widowControl w:val="false"/>
      <w:autoSpaceDE w:val="false"/>
      <w:bidi w:val="0"/>
    </w:pPr>
    <w:rPr>
      <w:rFonts w:ascii="Times New Roman" w:hAnsi="Times New Roman" w:eastAsia="Times New Roman" w:cs="Times New Roman"/>
      <w:b/>
      <w:bCs/>
      <w:color w:val="auto"/>
      <w:sz w:val="28"/>
      <w:szCs w:val="28"/>
      <w:lang w:val="ru-RU" w:bidi="ar-SA" w:eastAsia="zh-CN"/>
    </w:rPr>
  </w:style>
  <w:style w:type="paragraph" w:styleId="ConsPlusNonformat">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Style22">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Style23">
    <w:name w:val="Текст выноски"/>
    <w:basedOn w:val="Normal"/>
    <w:qFormat/>
    <w:pPr/>
    <w:rPr>
      <w:rFonts w:ascii="Tahoma" w:hAnsi="Tahoma" w:cs="Tahoma"/>
      <w:sz w:val="16"/>
      <w:szCs w:val="16"/>
    </w:rPr>
  </w:style>
  <w:style w:type="paragraph" w:styleId="Style24">
    <w:name w:val="Цитата"/>
    <w:basedOn w:val="Normal"/>
    <w:qFormat/>
    <w:pPr>
      <w:widowControl w:val="false"/>
      <w:shd w:fill="FFFFFF" w:val="clear"/>
      <w:autoSpaceDE w:val="false"/>
      <w:spacing w:lineRule="exact" w:line="264" w:before="2" w:after="0"/>
      <w:ind w:hanging="0" w:left="24" w:right="5243"/>
      <w:jc w:val="both"/>
    </w:pPr>
    <w:rPr>
      <w:sz w:val="20"/>
      <w:szCs w:val="20"/>
    </w:rPr>
  </w:style>
  <w:style w:type="paragraph" w:styleId="ConsNormal">
    <w:name w:val="ConsNormal"/>
    <w:qFormat/>
    <w:pPr>
      <w:widowControl w:val="false"/>
      <w:bidi w:val="0"/>
      <w:snapToGrid w:val="false"/>
      <w:ind w:firstLine="720" w:left="0" w:right="0"/>
    </w:pPr>
    <w:rPr>
      <w:rFonts w:ascii="Arial" w:hAnsi="Arial" w:eastAsia="Times New Roman" w:cs="Arial"/>
      <w:color w:val="auto"/>
      <w:sz w:val="20"/>
      <w:szCs w:val="20"/>
      <w:lang w:val="ru-RU" w:bidi="ar-SA" w:eastAsia="zh-CN"/>
    </w:rPr>
  </w:style>
  <w:style w:type="paragraph" w:styleId="BodyTextIndent">
    <w:name w:val="Body Text Indent"/>
    <w:basedOn w:val="Normal"/>
    <w:pPr>
      <w:widowControl w:val="false"/>
      <w:shd w:fill="FFFFFF" w:val="clear"/>
      <w:autoSpaceDE w:val="false"/>
      <w:spacing w:lineRule="exact" w:line="270"/>
      <w:ind w:hanging="194" w:left="641" w:right="0"/>
      <w:jc w:val="center"/>
    </w:pPr>
    <w:rPr>
      <w:b/>
      <w:szCs w:val="20"/>
    </w:rPr>
  </w:style>
  <w:style w:type="paragraph" w:styleId="ConsPlusNormal">
    <w:name w:val="ConsPlusNormal"/>
    <w:qFormat/>
    <w:pPr>
      <w:widowControl w:val="false"/>
      <w:autoSpaceDE w:val="false"/>
      <w:bidi w:val="0"/>
    </w:pPr>
    <w:rPr>
      <w:rFonts w:ascii="Calibri" w:hAnsi="Calibri" w:eastAsia="Times New Roman" w:cs="Calibri"/>
      <w:color w:val="auto"/>
      <w:sz w:val="22"/>
      <w:szCs w:val="22"/>
      <w:lang w:val="ru-RU" w:bidi="ar-SA" w:eastAsia="zh-CN"/>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login.consultant.ru/link/?req=doc&amp;base=LAW&amp;n=488463&amp;dst=405" TargetMode="External"/><Relationship Id="rId4" Type="http://schemas.openxmlformats.org/officeDocument/2006/relationships/hyperlink" Target="https://login.consultant.ru/link/?req=doc&amp;base=LAW&amp;n=488454&amp;dst=8" TargetMode="External"/><Relationship Id="rId5" Type="http://schemas.openxmlformats.org/officeDocument/2006/relationships/hyperlink" Target="https://login.consultant.ru/link/?req=doc&amp;base=LAW&amp;n=483239&amp;dst=276" TargetMode="External"/><Relationship Id="rId6" Type="http://schemas.openxmlformats.org/officeDocument/2006/relationships/hyperlink" Target="https://sharypovo.gosuslugi.ru/"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246</TotalTime>
  <Application>LibreOffice/7.6.4.1$Windows_X86_64 LibreOffice_project/e19e193f88cd6c0525a17fb7a176ed8e6a3e2aa1</Application>
  <AppVersion>15.0000</AppVersion>
  <Pages>2</Pages>
  <Words>787</Words>
  <Characters>5916</Characters>
  <CharactersWithSpaces>6708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2022-03-04T09:46:00Z</dcterms:created>
  <dc:creator>Admin</dc:creator>
  <dc:description/>
  <cp:keywords/>
  <dc:language>ru-RU</dc:language>
  <cp:lastModifiedBy>Чайников В.Н.</cp:lastModifiedBy>
  <cp:lastPrinted>2025-04-02T17:11:00Z</cp:lastPrinted>
  <dcterms:modified xsi:type="dcterms:W3CDTF">2025-04-04T09:39:00Z</dcterms:modified>
  <cp:revision>62</cp:revision>
  <dc:subject/>
  <dc:title>АДМИНИСТРАЦИЯ ГОРОДА ШАРЫПОВО</dc:title>
</cp:coreProperties>
</file>