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901" w:rsidRDefault="00E109BD">
      <w:pPr>
        <w:widowControl w:val="0"/>
        <w:shd w:val="clear" w:color="auto" w:fill="FFFFFF"/>
        <w:ind w:left="4536"/>
      </w:pPr>
      <w:r>
        <w:t>Приложение № 2</w:t>
      </w:r>
    </w:p>
    <w:p w:rsidR="00765901" w:rsidRDefault="00E109BD">
      <w:pPr>
        <w:widowControl w:val="0"/>
        <w:ind w:left="4536"/>
      </w:pPr>
      <w:r>
        <w:rPr>
          <w:rFonts w:eastAsia="Arial Unicode MS"/>
        </w:rPr>
        <w:t xml:space="preserve">к конкурсной документации </w:t>
      </w:r>
      <w:r>
        <w:t>о проведении открытого конкурса на право заключения</w:t>
      </w:r>
    </w:p>
    <w:p w:rsidR="00765901" w:rsidRDefault="00E109BD">
      <w:pPr>
        <w:widowControl w:val="0"/>
        <w:ind w:left="4536"/>
        <w:rPr>
          <w:bCs/>
        </w:rPr>
      </w:pPr>
      <w:r>
        <w:t xml:space="preserve">концессионного соглашения </w:t>
      </w:r>
      <w:r>
        <w:rPr>
          <w:bCs/>
        </w:rPr>
        <w:t>в отношении объектов водоотведения на территории муниципального образования «городской округ город Шарыпово Красноярского края»</w:t>
      </w:r>
    </w:p>
    <w:p w:rsidR="00765901" w:rsidRDefault="00765901">
      <w:pPr>
        <w:widowControl w:val="0"/>
        <w:jc w:val="right"/>
        <w:rPr>
          <w:bCs/>
        </w:rPr>
      </w:pPr>
    </w:p>
    <w:p w:rsidR="00765901" w:rsidRDefault="00765901">
      <w:pPr>
        <w:widowControl w:val="0"/>
        <w:jc w:val="right"/>
      </w:pPr>
    </w:p>
    <w:p w:rsidR="00765901" w:rsidRDefault="00E109BD">
      <w:pPr>
        <w:jc w:val="center"/>
        <w:rPr>
          <w:b/>
          <w:color w:val="000000"/>
        </w:rPr>
      </w:pPr>
      <w:r>
        <w:rPr>
          <w:b/>
          <w:color w:val="000000"/>
        </w:rPr>
        <w:t>Критерии конкурса и параметры критериев конкурса</w:t>
      </w:r>
    </w:p>
    <w:p w:rsidR="00765901" w:rsidRDefault="00765901">
      <w:pPr>
        <w:jc w:val="center"/>
        <w:rPr>
          <w:b/>
          <w:color w:val="000000"/>
        </w:rPr>
      </w:pPr>
    </w:p>
    <w:p w:rsidR="00765901" w:rsidRDefault="00765901">
      <w:pPr>
        <w:jc w:val="center"/>
        <w:rPr>
          <w:b/>
        </w:rPr>
      </w:pPr>
    </w:p>
    <w:p w:rsidR="00765901" w:rsidRDefault="00E109BD">
      <w:pPr>
        <w:ind w:firstLine="709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Критерии конкурса и параметры критериев конкурса</w:t>
      </w:r>
    </w:p>
    <w:p w:rsidR="00765901" w:rsidRDefault="00765901">
      <w:pPr>
        <w:ind w:firstLine="709"/>
        <w:jc w:val="both"/>
        <w:rPr>
          <w:rFonts w:eastAsiaTheme="minorHAnsi"/>
          <w:lang w:eastAsia="en-US"/>
        </w:rPr>
      </w:pPr>
    </w:p>
    <w:p w:rsidR="00765901" w:rsidRDefault="00E109BD">
      <w:pPr>
        <w:pStyle w:val="af3"/>
        <w:widowControl w:val="0"/>
        <w:ind w:left="0" w:firstLine="709"/>
        <w:jc w:val="both"/>
        <w:rPr>
          <w:rFonts w:eastAsiaTheme="minorHAnsi"/>
          <w:sz w:val="24"/>
          <w:szCs w:val="24"/>
          <w:lang w:val="ru-RU" w:eastAsia="en-US"/>
        </w:rPr>
      </w:pPr>
      <w:r w:rsidRPr="00D01110">
        <w:rPr>
          <w:rFonts w:eastAsiaTheme="minorHAnsi"/>
          <w:sz w:val="24"/>
          <w:szCs w:val="24"/>
          <w:lang w:val="ru-RU" w:eastAsia="en-US"/>
        </w:rPr>
        <w:t>1. Предельный размер расходов на модернизацию объекта концессионного соглашения – 10 661 131,19 руб.</w:t>
      </w:r>
    </w:p>
    <w:p w:rsidR="00765901" w:rsidRDefault="00765901">
      <w:pPr>
        <w:pStyle w:val="af3"/>
        <w:widowControl w:val="0"/>
        <w:ind w:left="0" w:firstLine="709"/>
        <w:jc w:val="both"/>
        <w:rPr>
          <w:rFonts w:eastAsiaTheme="minorHAnsi"/>
          <w:sz w:val="24"/>
          <w:szCs w:val="24"/>
          <w:lang w:val="ru-RU" w:eastAsia="en-US"/>
        </w:rPr>
      </w:pPr>
    </w:p>
    <w:tbl>
      <w:tblPr>
        <w:tblStyle w:val="af4"/>
        <w:tblW w:w="9577" w:type="dxa"/>
        <w:jc w:val="center"/>
        <w:tblInd w:w="-3132" w:type="dxa"/>
        <w:tblLook w:val="04A0"/>
      </w:tblPr>
      <w:tblGrid>
        <w:gridCol w:w="6632"/>
        <w:gridCol w:w="513"/>
        <w:gridCol w:w="608"/>
        <w:gridCol w:w="608"/>
        <w:gridCol w:w="608"/>
        <w:gridCol w:w="608"/>
      </w:tblGrid>
      <w:tr w:rsidR="00765901">
        <w:trPr>
          <w:cantSplit/>
          <w:trHeight w:val="1499"/>
          <w:jc w:val="center"/>
        </w:trPr>
        <w:tc>
          <w:tcPr>
            <w:tcW w:w="6632" w:type="dxa"/>
          </w:tcPr>
          <w:p w:rsidR="00765901" w:rsidRDefault="00E109BD">
            <w:pPr>
              <w:pStyle w:val="af3"/>
              <w:ind w:left="0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Наименование показателя</w:t>
            </w:r>
          </w:p>
        </w:tc>
        <w:tc>
          <w:tcPr>
            <w:tcW w:w="513" w:type="dxa"/>
            <w:textDirection w:val="btLr"/>
          </w:tcPr>
          <w:p w:rsidR="00765901" w:rsidRDefault="00E109BD">
            <w:pPr>
              <w:pStyle w:val="af3"/>
              <w:ind w:left="113" w:right="113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2024</w:t>
            </w:r>
          </w:p>
        </w:tc>
        <w:tc>
          <w:tcPr>
            <w:tcW w:w="608" w:type="dxa"/>
            <w:textDirection w:val="btLr"/>
          </w:tcPr>
          <w:p w:rsidR="00765901" w:rsidRDefault="00E109BD">
            <w:pPr>
              <w:pStyle w:val="af3"/>
              <w:ind w:left="113" w:right="113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2025</w:t>
            </w:r>
          </w:p>
        </w:tc>
        <w:tc>
          <w:tcPr>
            <w:tcW w:w="608" w:type="dxa"/>
            <w:textDirection w:val="btLr"/>
          </w:tcPr>
          <w:p w:rsidR="00765901" w:rsidRDefault="00E109BD">
            <w:pPr>
              <w:pStyle w:val="af3"/>
              <w:ind w:left="113" w:right="113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2026</w:t>
            </w:r>
          </w:p>
        </w:tc>
        <w:tc>
          <w:tcPr>
            <w:tcW w:w="608" w:type="dxa"/>
            <w:textDirection w:val="btLr"/>
          </w:tcPr>
          <w:p w:rsidR="00765901" w:rsidRDefault="00E109BD">
            <w:pPr>
              <w:pStyle w:val="af3"/>
              <w:ind w:left="113" w:right="113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2027</w:t>
            </w:r>
          </w:p>
        </w:tc>
        <w:tc>
          <w:tcPr>
            <w:tcW w:w="608" w:type="dxa"/>
            <w:textDirection w:val="btLr"/>
          </w:tcPr>
          <w:p w:rsidR="00765901" w:rsidRDefault="00E109BD">
            <w:pPr>
              <w:pStyle w:val="af3"/>
              <w:ind w:left="113" w:right="113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2028</w:t>
            </w:r>
          </w:p>
        </w:tc>
      </w:tr>
      <w:tr w:rsidR="00765901">
        <w:trPr>
          <w:cantSplit/>
          <w:trHeight w:val="1134"/>
          <w:jc w:val="center"/>
        </w:trPr>
        <w:tc>
          <w:tcPr>
            <w:tcW w:w="6632" w:type="dxa"/>
          </w:tcPr>
          <w:p w:rsidR="00765901" w:rsidRDefault="00E109BD" w:rsidP="005B0ADF">
            <w:pPr>
              <w:pStyle w:val="af3"/>
              <w:widowControl w:val="0"/>
              <w:ind w:left="0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Предельный  размер расходов на модернизацию объекта концессионного соглашения , которые предполагается осуществить концессионером, без учета расходов, источником финансирования которых является плата за подключение (технологическое присоединение), руб.</w:t>
            </w:r>
          </w:p>
        </w:tc>
        <w:tc>
          <w:tcPr>
            <w:tcW w:w="513" w:type="dxa"/>
            <w:textDirection w:val="btLr"/>
          </w:tcPr>
          <w:p w:rsidR="00765901" w:rsidRDefault="00E109BD">
            <w:pPr>
              <w:pStyle w:val="af3"/>
              <w:ind w:left="113" w:right="113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2 695 798,79</w:t>
            </w:r>
          </w:p>
        </w:tc>
        <w:tc>
          <w:tcPr>
            <w:tcW w:w="608" w:type="dxa"/>
            <w:textDirection w:val="btLr"/>
          </w:tcPr>
          <w:p w:rsidR="00765901" w:rsidRDefault="00E109BD">
            <w:pPr>
              <w:pStyle w:val="af3"/>
              <w:ind w:left="113" w:right="113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7 965 332,40</w:t>
            </w:r>
          </w:p>
        </w:tc>
        <w:tc>
          <w:tcPr>
            <w:tcW w:w="608" w:type="dxa"/>
            <w:textDirection w:val="btLr"/>
          </w:tcPr>
          <w:p w:rsidR="00765901" w:rsidRDefault="00E109BD">
            <w:pPr>
              <w:pStyle w:val="af3"/>
              <w:ind w:left="113" w:right="113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0</w:t>
            </w:r>
          </w:p>
        </w:tc>
        <w:tc>
          <w:tcPr>
            <w:tcW w:w="608" w:type="dxa"/>
            <w:textDirection w:val="btLr"/>
          </w:tcPr>
          <w:p w:rsidR="00765901" w:rsidRDefault="00E109BD">
            <w:pPr>
              <w:pStyle w:val="af3"/>
              <w:ind w:left="113" w:right="113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0</w:t>
            </w:r>
          </w:p>
        </w:tc>
        <w:tc>
          <w:tcPr>
            <w:tcW w:w="608" w:type="dxa"/>
            <w:textDirection w:val="btLr"/>
          </w:tcPr>
          <w:p w:rsidR="00765901" w:rsidRDefault="00E109BD">
            <w:pPr>
              <w:pStyle w:val="af3"/>
              <w:ind w:left="113" w:right="113"/>
              <w:jc w:val="center"/>
              <w:rPr>
                <w:rFonts w:eastAsiaTheme="minorHAnsi"/>
                <w:sz w:val="23"/>
                <w:szCs w:val="23"/>
                <w:lang w:val="ru-RU" w:eastAsia="en-US"/>
              </w:rPr>
            </w:pPr>
            <w:r>
              <w:rPr>
                <w:rFonts w:eastAsiaTheme="minorHAnsi"/>
                <w:sz w:val="23"/>
                <w:szCs w:val="23"/>
                <w:lang w:val="ru-RU" w:eastAsia="en-US"/>
              </w:rPr>
              <w:t>0</w:t>
            </w:r>
          </w:p>
        </w:tc>
      </w:tr>
    </w:tbl>
    <w:p w:rsidR="00765901" w:rsidRDefault="00765901">
      <w:pPr>
        <w:pStyle w:val="af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765901" w:rsidRDefault="00E109BD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Объем расходов, финансируемых за счет средств концедента, на модернизацию объекта концессионного соглашения на каждый год срока действия концессионного соглашения – 0,00 тыс.руб.</w:t>
      </w:r>
    </w:p>
    <w:p w:rsidR="00765901" w:rsidRDefault="00765901">
      <w:pPr>
        <w:ind w:firstLine="709"/>
        <w:jc w:val="both"/>
        <w:rPr>
          <w:rFonts w:eastAsiaTheme="minorHAnsi"/>
          <w:lang w:eastAsia="en-US"/>
        </w:rPr>
      </w:pPr>
    </w:p>
    <w:p w:rsidR="00765901" w:rsidRDefault="00E109BD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Объем расходов, финансируемых за счет средств концедента, на использование (эксплуатацию) объекта концессионного соглашения на каждый год срока действия концессионного соглашения – 0,00 тыс.руб.</w:t>
      </w:r>
    </w:p>
    <w:p w:rsidR="00765901" w:rsidRDefault="00765901">
      <w:pPr>
        <w:pStyle w:val="af3"/>
        <w:ind w:left="1069"/>
        <w:jc w:val="both"/>
        <w:rPr>
          <w:rFonts w:eastAsiaTheme="minorHAnsi"/>
          <w:sz w:val="24"/>
          <w:szCs w:val="24"/>
          <w:highlight w:val="yellow"/>
          <w:lang w:val="ru-RU" w:eastAsia="en-US"/>
        </w:rPr>
      </w:pPr>
    </w:p>
    <w:p w:rsidR="00765901" w:rsidRPr="005525D1" w:rsidRDefault="00E109BD" w:rsidP="005525D1">
      <w:pPr>
        <w:ind w:firstLine="567"/>
        <w:jc w:val="both"/>
        <w:rPr>
          <w:rFonts w:eastAsiaTheme="minorHAnsi"/>
          <w:lang w:eastAsia="en-US"/>
        </w:rPr>
      </w:pPr>
      <w:r w:rsidRPr="005525D1">
        <w:rPr>
          <w:rFonts w:eastAsiaTheme="minorHAnsi"/>
          <w:lang w:eastAsia="en-US"/>
        </w:rPr>
        <w:t>4. Долгосрочные параметры регулирования деятельности  концессионера:</w:t>
      </w:r>
    </w:p>
    <w:p w:rsidR="00765901" w:rsidRDefault="00765901">
      <w:pPr>
        <w:pStyle w:val="af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tbl>
      <w:tblPr>
        <w:tblW w:w="9539" w:type="dxa"/>
        <w:jc w:val="center"/>
        <w:tblInd w:w="-4013" w:type="dxa"/>
        <w:tblLayout w:type="fixed"/>
        <w:tblLook w:val="04A0"/>
      </w:tblPr>
      <w:tblGrid>
        <w:gridCol w:w="893"/>
        <w:gridCol w:w="4252"/>
        <w:gridCol w:w="851"/>
        <w:gridCol w:w="708"/>
        <w:gridCol w:w="709"/>
        <w:gridCol w:w="709"/>
        <w:gridCol w:w="709"/>
        <w:gridCol w:w="708"/>
      </w:tblGrid>
      <w:tr w:rsidR="00765901">
        <w:trPr>
          <w:cantSplit/>
          <w:trHeight w:val="123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5901" w:rsidRDefault="00E109B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 изм. / год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5901" w:rsidRDefault="00E109B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5901" w:rsidRDefault="00E109B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5901" w:rsidRDefault="00E109B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5901" w:rsidRDefault="00E109B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5901" w:rsidRDefault="00E109B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</w:t>
            </w:r>
          </w:p>
        </w:tc>
      </w:tr>
      <w:tr w:rsidR="00765901">
        <w:trPr>
          <w:cantSplit/>
          <w:trHeight w:val="609"/>
          <w:jc w:val="center"/>
        </w:trPr>
        <w:tc>
          <w:tcPr>
            <w:tcW w:w="9539" w:type="dxa"/>
            <w:gridSpan w:val="8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 Водоотведение</w:t>
            </w:r>
          </w:p>
        </w:tc>
      </w:tr>
      <w:tr w:rsidR="00765901">
        <w:trPr>
          <w:cantSplit/>
          <w:trHeight w:val="1743"/>
          <w:jc w:val="center"/>
        </w:trPr>
        <w:tc>
          <w:tcPr>
            <w:tcW w:w="8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4.1.2</w:t>
            </w:r>
          </w:p>
        </w:tc>
        <w:tc>
          <w:tcPr>
            <w:tcW w:w="42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Базовый уровень операционных расходов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65901" w:rsidRDefault="00E109BD">
            <w:pPr>
              <w:ind w:right="113" w:hanging="189"/>
              <w:jc w:val="center"/>
            </w:pPr>
            <w:r>
              <w:t>19026,21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х</w:t>
            </w:r>
          </w:p>
        </w:tc>
      </w:tr>
      <w:tr w:rsidR="00765901">
        <w:trPr>
          <w:trHeight w:val="540"/>
          <w:jc w:val="center"/>
        </w:trPr>
        <w:tc>
          <w:tcPr>
            <w:tcW w:w="8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lastRenderedPageBreak/>
              <w:t>4.1.3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r>
              <w:t>Показатели энергосбережения и энергетической эффективности</w:t>
            </w:r>
          </w:p>
        </w:tc>
      </w:tr>
      <w:tr w:rsidR="00765901">
        <w:trPr>
          <w:trHeight w:val="315"/>
          <w:jc w:val="center"/>
        </w:trPr>
        <w:tc>
          <w:tcPr>
            <w:tcW w:w="8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 </w:t>
            </w:r>
          </w:p>
        </w:tc>
        <w:tc>
          <w:tcPr>
            <w:tcW w:w="42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r>
              <w:t>в том числе: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r>
              <w:t>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r>
              <w:t>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r>
              <w:t> </w:t>
            </w:r>
          </w:p>
        </w:tc>
      </w:tr>
      <w:tr w:rsidR="00765901">
        <w:trPr>
          <w:trHeight w:val="1260"/>
          <w:jc w:val="center"/>
        </w:trPr>
        <w:tc>
          <w:tcPr>
            <w:tcW w:w="8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4.1.3.1</w:t>
            </w:r>
          </w:p>
        </w:tc>
        <w:tc>
          <w:tcPr>
            <w:tcW w:w="42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Удельный расход электрической энергии, потребляемой в технологическом процессе очистки сточных вод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кВт*ч/м3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0,47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0,47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0,47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0,47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0,47</w:t>
            </w:r>
          </w:p>
        </w:tc>
      </w:tr>
      <w:tr w:rsidR="00765901">
        <w:trPr>
          <w:trHeight w:val="1650"/>
          <w:jc w:val="center"/>
        </w:trPr>
        <w:tc>
          <w:tcPr>
            <w:tcW w:w="8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4.1.3.2</w:t>
            </w:r>
          </w:p>
        </w:tc>
        <w:tc>
          <w:tcPr>
            <w:tcW w:w="42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Удельный расход электрической энергии, потребляемой в технологическом процессе транспортировки сточных вод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кВт*ч/м3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0,23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0,21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0,21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0,21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0,21</w:t>
            </w:r>
          </w:p>
        </w:tc>
      </w:tr>
      <w:tr w:rsidR="00765901">
        <w:trPr>
          <w:trHeight w:val="72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4.1.4</w:t>
            </w:r>
          </w:p>
        </w:tc>
        <w:tc>
          <w:tcPr>
            <w:tcW w:w="42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 xml:space="preserve">Нормативный уровень прибыли </w:t>
            </w:r>
          </w:p>
        </w:tc>
        <w:tc>
          <w:tcPr>
            <w:tcW w:w="8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3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rPr>
                <w:sz w:val="20"/>
                <w:szCs w:val="20"/>
              </w:rPr>
              <w:t>не более 3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rPr>
                <w:sz w:val="20"/>
                <w:szCs w:val="20"/>
              </w:rPr>
              <w:t>не более 3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rPr>
                <w:sz w:val="20"/>
                <w:szCs w:val="20"/>
              </w:rPr>
              <w:t>не более 3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rPr>
                <w:sz w:val="20"/>
                <w:szCs w:val="20"/>
              </w:rPr>
              <w:t>не более 3</w:t>
            </w:r>
          </w:p>
        </w:tc>
      </w:tr>
      <w:tr w:rsidR="00765901">
        <w:trPr>
          <w:trHeight w:val="509"/>
          <w:jc w:val="center"/>
        </w:trPr>
        <w:tc>
          <w:tcPr>
            <w:tcW w:w="9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4.2 Водоотведение (в части очистки сточных вод)</w:t>
            </w:r>
          </w:p>
        </w:tc>
      </w:tr>
      <w:tr w:rsidR="00765901">
        <w:trPr>
          <w:trHeight w:val="153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4.1.2</w:t>
            </w:r>
          </w:p>
        </w:tc>
        <w:tc>
          <w:tcPr>
            <w:tcW w:w="42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Базовый уровень операционных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65901" w:rsidRDefault="00E109BD">
            <w:pPr>
              <w:ind w:right="113" w:hanging="189"/>
              <w:jc w:val="center"/>
            </w:pPr>
            <w:r>
              <w:t>41756,09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х</w:t>
            </w:r>
          </w:p>
        </w:tc>
      </w:tr>
      <w:tr w:rsidR="00765901">
        <w:trPr>
          <w:trHeight w:val="42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4.1.3 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r>
              <w:t>Показатели энергосбережения и энергетической эффективности</w:t>
            </w:r>
          </w:p>
        </w:tc>
      </w:tr>
      <w:tr w:rsidR="00765901">
        <w:trPr>
          <w:trHeight w:val="393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765901">
            <w:pPr>
              <w:jc w:val="center"/>
            </w:pP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r>
              <w:t>в том числе:</w:t>
            </w:r>
          </w:p>
        </w:tc>
      </w:tr>
      <w:tr w:rsidR="00765901">
        <w:trPr>
          <w:trHeight w:val="72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4.1.3.1</w:t>
            </w:r>
          </w:p>
        </w:tc>
        <w:tc>
          <w:tcPr>
            <w:tcW w:w="42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Удельный расход электрической энергии, потребляемой в технологическом процессе очистки сточных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кВт*ч/м3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0,47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0,47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0,47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0,47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0,47</w:t>
            </w:r>
          </w:p>
        </w:tc>
      </w:tr>
      <w:tr w:rsidR="00765901">
        <w:trPr>
          <w:trHeight w:val="72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4.1.3.2</w:t>
            </w:r>
          </w:p>
        </w:tc>
        <w:tc>
          <w:tcPr>
            <w:tcW w:w="42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Удельный расход электрической энергии, потребляемой в технологическом процессе транспортировки сточных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кВт*ч/м3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0,00</w:t>
            </w:r>
          </w:p>
        </w:tc>
      </w:tr>
      <w:tr w:rsidR="00765901">
        <w:trPr>
          <w:trHeight w:val="72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4.1.4</w:t>
            </w:r>
          </w:p>
        </w:tc>
        <w:tc>
          <w:tcPr>
            <w:tcW w:w="425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 xml:space="preserve">Нормативный уровень прибыли </w:t>
            </w:r>
          </w:p>
        </w:tc>
        <w:tc>
          <w:tcPr>
            <w:tcW w:w="8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01" w:rsidRDefault="00E109BD">
            <w:pPr>
              <w:jc w:val="center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rPr>
                <w:sz w:val="20"/>
                <w:szCs w:val="20"/>
              </w:rPr>
              <w:t>не более 5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901" w:rsidRDefault="00E109BD">
            <w:pPr>
              <w:jc w:val="center"/>
            </w:pPr>
            <w:r>
              <w:t>0</w:t>
            </w:r>
          </w:p>
        </w:tc>
      </w:tr>
    </w:tbl>
    <w:p w:rsidR="00765901" w:rsidRDefault="00765901">
      <w:pPr>
        <w:jc w:val="center"/>
        <w:rPr>
          <w:rFonts w:eastAsiaTheme="minorHAnsi"/>
          <w:lang w:eastAsia="en-US"/>
        </w:rPr>
      </w:pPr>
    </w:p>
    <w:p w:rsidR="00765901" w:rsidRDefault="00E109BD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Плановые</w:t>
      </w:r>
      <w:r w:rsidR="005B0ADF">
        <w:rPr>
          <w:rFonts w:eastAsiaTheme="minorHAnsi"/>
          <w:lang w:eastAsia="en-US"/>
        </w:rPr>
        <w:t xml:space="preserve"> (максимальные)</w:t>
      </w:r>
      <w:r w:rsidR="00D0111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значения показателей деятельности концессионера: </w:t>
      </w:r>
    </w:p>
    <w:p w:rsidR="00765901" w:rsidRDefault="00765901">
      <w:pPr>
        <w:jc w:val="center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0"/>
        <w:gridCol w:w="5047"/>
        <w:gridCol w:w="754"/>
        <w:gridCol w:w="636"/>
        <w:gridCol w:w="636"/>
        <w:gridCol w:w="636"/>
        <w:gridCol w:w="636"/>
        <w:gridCol w:w="636"/>
      </w:tblGrid>
      <w:tr w:rsidR="005B0ADF" w:rsidRPr="005B0ADF" w:rsidTr="005B0ADF">
        <w:trPr>
          <w:cantSplit/>
          <w:trHeight w:val="113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  <w:b/>
              </w:rPr>
            </w:pPr>
            <w:r w:rsidRPr="005B0ADF">
              <w:rPr>
                <w:b/>
              </w:rPr>
              <w:t>№ п/п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  <w:b/>
              </w:rPr>
            </w:pPr>
            <w:r w:rsidRPr="005B0ADF">
              <w:rPr>
                <w:b/>
              </w:rPr>
              <w:t>Наименование показателей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ind w:left="113" w:right="113"/>
              <w:jc w:val="center"/>
              <w:rPr>
                <w:rFonts w:eastAsiaTheme="minorEastAsia"/>
                <w:b/>
              </w:rPr>
            </w:pPr>
            <w:r w:rsidRPr="005B0ADF">
              <w:rPr>
                <w:b/>
              </w:rPr>
              <w:t>Ед. изм.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ind w:left="113" w:right="113"/>
              <w:jc w:val="center"/>
              <w:rPr>
                <w:rFonts w:eastAsiaTheme="minorEastAsia"/>
                <w:b/>
              </w:rPr>
            </w:pPr>
            <w:r w:rsidRPr="005B0ADF">
              <w:rPr>
                <w:b/>
              </w:rPr>
              <w:t>2024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ind w:left="113" w:right="113"/>
              <w:jc w:val="center"/>
              <w:rPr>
                <w:rFonts w:eastAsiaTheme="minorEastAsia"/>
                <w:b/>
              </w:rPr>
            </w:pPr>
            <w:r w:rsidRPr="005B0ADF">
              <w:rPr>
                <w:b/>
              </w:rPr>
              <w:t>2025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ind w:left="113" w:right="113"/>
              <w:jc w:val="center"/>
              <w:rPr>
                <w:rFonts w:eastAsiaTheme="minorEastAsia"/>
                <w:b/>
              </w:rPr>
            </w:pPr>
            <w:r w:rsidRPr="005B0ADF">
              <w:rPr>
                <w:b/>
              </w:rPr>
              <w:t>2026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ind w:left="113" w:right="113"/>
              <w:jc w:val="center"/>
              <w:rPr>
                <w:rFonts w:eastAsiaTheme="minorEastAsia"/>
                <w:b/>
              </w:rPr>
            </w:pPr>
            <w:r w:rsidRPr="005B0ADF">
              <w:rPr>
                <w:b/>
              </w:rPr>
              <w:t>2027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ind w:left="113" w:right="113"/>
              <w:jc w:val="center"/>
              <w:rPr>
                <w:rFonts w:eastAsiaTheme="minorEastAsia"/>
                <w:b/>
              </w:rPr>
            </w:pPr>
            <w:r w:rsidRPr="005B0ADF">
              <w:rPr>
                <w:b/>
              </w:rPr>
              <w:t>2028</w:t>
            </w:r>
          </w:p>
        </w:tc>
      </w:tr>
      <w:tr w:rsidR="005B0ADF" w:rsidRPr="005B0ADF" w:rsidTr="005B0ADF">
        <w:trPr>
          <w:cantSplit/>
          <w:trHeight w:val="91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1.</w:t>
            </w:r>
          </w:p>
        </w:tc>
        <w:tc>
          <w:tcPr>
            <w:tcW w:w="8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rPr>
                <w:rFonts w:eastAsiaTheme="minorEastAsia"/>
              </w:rPr>
            </w:pPr>
            <w:r w:rsidRPr="005B0ADF">
              <w:t>Показатели надежности и бесперебойности водоотведения</w:t>
            </w:r>
          </w:p>
        </w:tc>
      </w:tr>
      <w:tr w:rsidR="005B0ADF" w:rsidRPr="005B0ADF" w:rsidTr="005B0ADF">
        <w:trPr>
          <w:trHeight w:val="9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rPr>
                <w:rFonts w:eastAsiaTheme="minorEastAsia"/>
              </w:rPr>
            </w:pPr>
            <w:r w:rsidRPr="005B0ADF">
              <w:t>1.1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rPr>
                <w:rFonts w:eastAsiaTheme="minorEastAsia"/>
              </w:rPr>
            </w:pPr>
            <w:r w:rsidRPr="005B0ADF">
              <w:rPr>
                <w:color w:val="000000"/>
              </w:rPr>
              <w:t>Количество аварий и засоров в расчете на протяженность канализационной сети в год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  <w:color w:val="000000"/>
              </w:rPr>
            </w:pPr>
            <w:r w:rsidRPr="005B0ADF">
              <w:rPr>
                <w:color w:val="000000"/>
              </w:rPr>
              <w:t>ШТ.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7</w:t>
            </w:r>
          </w:p>
        </w:tc>
      </w:tr>
      <w:tr w:rsidR="005B0ADF" w:rsidRPr="005B0ADF" w:rsidTr="005B0ADF">
        <w:trPr>
          <w:cantSplit/>
          <w:trHeight w:val="98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lastRenderedPageBreak/>
              <w:t>2.</w:t>
            </w:r>
          </w:p>
        </w:tc>
        <w:tc>
          <w:tcPr>
            <w:tcW w:w="8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rPr>
                <w:rFonts w:eastAsiaTheme="minorEastAsia"/>
              </w:rPr>
            </w:pPr>
            <w:r w:rsidRPr="005B0ADF">
              <w:t>Показатели качества очистки сточных вод</w:t>
            </w:r>
          </w:p>
        </w:tc>
      </w:tr>
      <w:tr w:rsidR="005B0ADF" w:rsidRPr="005B0ADF" w:rsidTr="005B0ADF">
        <w:trPr>
          <w:trHeight w:val="9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rPr>
                <w:rFonts w:eastAsiaTheme="minorEastAsia"/>
              </w:rPr>
            </w:pPr>
            <w:r w:rsidRPr="005B0ADF">
              <w:t>2.1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rPr>
                <w:rFonts w:eastAsiaTheme="minorEastAsia"/>
              </w:rPr>
            </w:pPr>
            <w:r w:rsidRPr="005B0ADF">
              <w:rPr>
                <w:color w:val="00000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  <w:color w:val="000000"/>
              </w:rPr>
            </w:pPr>
            <w:r w:rsidRPr="005B0ADF">
              <w:rPr>
                <w:color w:val="000000"/>
              </w:rPr>
              <w:t>%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</w:t>
            </w:r>
          </w:p>
        </w:tc>
      </w:tr>
      <w:tr w:rsidR="005B0ADF" w:rsidRPr="005B0ADF" w:rsidTr="005B0ADF">
        <w:trPr>
          <w:cantSplit/>
          <w:trHeight w:val="72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2.2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5B0ADF">
              <w:rPr>
                <w:color w:val="00000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%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1,6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1,6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1,6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1,6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1,6</w:t>
            </w:r>
          </w:p>
        </w:tc>
      </w:tr>
      <w:tr w:rsidR="005B0ADF" w:rsidRPr="005B0ADF" w:rsidTr="005B0ADF">
        <w:trPr>
          <w:cantSplit/>
          <w:trHeight w:val="9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3.</w:t>
            </w:r>
          </w:p>
        </w:tc>
        <w:tc>
          <w:tcPr>
            <w:tcW w:w="8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rPr>
                <w:rFonts w:eastAsiaTheme="minorEastAsia"/>
              </w:rPr>
            </w:pPr>
            <w:r w:rsidRPr="005B0ADF">
              <w:t>Показатели энергетической эффективности</w:t>
            </w:r>
          </w:p>
        </w:tc>
      </w:tr>
      <w:tr w:rsidR="005B0ADF" w:rsidRPr="005B0ADF" w:rsidTr="005B0ADF">
        <w:trPr>
          <w:cantSplit/>
          <w:trHeight w:val="72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3.1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rPr>
                <w:rFonts w:eastAsiaTheme="minorEastAsia"/>
              </w:rPr>
            </w:pPr>
            <w:r w:rsidRPr="005B0ADF">
              <w:t>Удельный расход электрической энергии, потребляемой в технологическом процессе очистки сточных вод, на единицу объема сточных вод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  <w:color w:val="000000"/>
              </w:rPr>
            </w:pPr>
            <w:r w:rsidRPr="005B0ADF">
              <w:rPr>
                <w:color w:val="000000"/>
              </w:rPr>
              <w:t>кВт*ч/м3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0,47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0,47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0,47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0,47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0,47</w:t>
            </w:r>
          </w:p>
        </w:tc>
      </w:tr>
      <w:tr w:rsidR="005B0ADF" w:rsidRPr="005B0ADF" w:rsidTr="005B0ADF">
        <w:trPr>
          <w:cantSplit/>
          <w:trHeight w:val="72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3.2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rPr>
                <w:rFonts w:eastAsiaTheme="minorEastAsia"/>
              </w:rPr>
            </w:pPr>
            <w:r w:rsidRPr="005B0ADF"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rPr>
                <w:color w:val="000000"/>
              </w:rPr>
              <w:t>кВт*ч/м3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 xml:space="preserve">0,23 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0,21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0,21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0,21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DF" w:rsidRPr="005B0ADF" w:rsidRDefault="005B0ADF">
            <w:pPr>
              <w:widowControl w:val="0"/>
              <w:spacing w:line="276" w:lineRule="auto"/>
              <w:jc w:val="center"/>
              <w:rPr>
                <w:rFonts w:eastAsiaTheme="minorEastAsia"/>
              </w:rPr>
            </w:pPr>
            <w:r w:rsidRPr="005B0ADF">
              <w:t>0,21</w:t>
            </w:r>
          </w:p>
        </w:tc>
      </w:tr>
    </w:tbl>
    <w:p w:rsidR="00765901" w:rsidRDefault="00765901">
      <w:pPr>
        <w:ind w:firstLine="709"/>
        <w:jc w:val="both"/>
        <w:rPr>
          <w:rFonts w:eastAsiaTheme="minorHAnsi"/>
          <w:lang w:eastAsia="en-US"/>
        </w:rPr>
      </w:pPr>
    </w:p>
    <w:p w:rsidR="00765901" w:rsidRDefault="00765901">
      <w:pPr>
        <w:ind w:firstLine="709"/>
        <w:jc w:val="both"/>
        <w:rPr>
          <w:rFonts w:eastAsiaTheme="minorHAnsi"/>
          <w:lang w:eastAsia="en-US"/>
        </w:rPr>
      </w:pPr>
    </w:p>
    <w:p w:rsidR="00765901" w:rsidRDefault="00E109BD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6. Плата концедента – 0,00 руб.</w:t>
      </w:r>
    </w:p>
    <w:p w:rsidR="00765901" w:rsidRDefault="00765901">
      <w:pPr>
        <w:ind w:firstLine="709"/>
        <w:jc w:val="both"/>
        <w:rPr>
          <w:rFonts w:eastAsiaTheme="minorHAnsi"/>
          <w:lang w:eastAsia="en-US"/>
        </w:rPr>
      </w:pPr>
    </w:p>
    <w:p w:rsidR="00765901" w:rsidRDefault="00765901">
      <w:pPr>
        <w:ind w:firstLine="709"/>
        <w:jc w:val="both"/>
        <w:rPr>
          <w:rFonts w:eastAsiaTheme="minorHAnsi"/>
          <w:lang w:eastAsia="en-US"/>
        </w:rPr>
      </w:pPr>
    </w:p>
    <w:p w:rsidR="00765901" w:rsidRDefault="00765901">
      <w:pPr>
        <w:ind w:firstLine="709"/>
        <w:jc w:val="both"/>
        <w:rPr>
          <w:rFonts w:eastAsiaTheme="minorHAnsi"/>
          <w:lang w:eastAsia="en-US"/>
        </w:rPr>
      </w:pPr>
    </w:p>
    <w:sectPr w:rsidR="00765901" w:rsidSect="00765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FBF57F4" w16cex:dateUtc="2023-11-07T02:51:56Z"/>
  <w16cex:commentExtensible w16cex:durableId="2CB851E3" w16cex:dateUtc="2023-11-07T02:51:0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FBF57F4"/>
  <w16cid:commentId w16cid:paraId="00000002" w16cid:durableId="2CB851E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DD0" w:rsidRDefault="003B0DD0">
      <w:r>
        <w:separator/>
      </w:r>
    </w:p>
  </w:endnote>
  <w:endnote w:type="continuationSeparator" w:id="0">
    <w:p w:rsidR="003B0DD0" w:rsidRDefault="003B0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DD0" w:rsidRDefault="003B0DD0">
      <w:r>
        <w:separator/>
      </w:r>
    </w:p>
  </w:footnote>
  <w:footnote w:type="continuationSeparator" w:id="0">
    <w:p w:rsidR="003B0DD0" w:rsidRDefault="003B0D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46127"/>
    <w:multiLevelType w:val="hybridMultilevel"/>
    <w:tmpl w:val="FF201672"/>
    <w:lvl w:ilvl="0" w:tplc="6BFAF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61C1F7A">
      <w:start w:val="1"/>
      <w:numFmt w:val="lowerLetter"/>
      <w:lvlText w:val="%2."/>
      <w:lvlJc w:val="left"/>
      <w:pPr>
        <w:ind w:left="1789" w:hanging="360"/>
      </w:pPr>
    </w:lvl>
    <w:lvl w:ilvl="2" w:tplc="03C05C3A">
      <w:start w:val="1"/>
      <w:numFmt w:val="lowerRoman"/>
      <w:lvlText w:val="%3."/>
      <w:lvlJc w:val="right"/>
      <w:pPr>
        <w:ind w:left="2509" w:hanging="180"/>
      </w:pPr>
    </w:lvl>
    <w:lvl w:ilvl="3" w:tplc="A0CE6A22">
      <w:start w:val="1"/>
      <w:numFmt w:val="decimal"/>
      <w:lvlText w:val="%4."/>
      <w:lvlJc w:val="left"/>
      <w:pPr>
        <w:ind w:left="3229" w:hanging="360"/>
      </w:pPr>
    </w:lvl>
    <w:lvl w:ilvl="4" w:tplc="0D1A09F8">
      <w:start w:val="1"/>
      <w:numFmt w:val="lowerLetter"/>
      <w:lvlText w:val="%5."/>
      <w:lvlJc w:val="left"/>
      <w:pPr>
        <w:ind w:left="3949" w:hanging="360"/>
      </w:pPr>
    </w:lvl>
    <w:lvl w:ilvl="5" w:tplc="E90AB924">
      <w:start w:val="1"/>
      <w:numFmt w:val="lowerRoman"/>
      <w:lvlText w:val="%6."/>
      <w:lvlJc w:val="right"/>
      <w:pPr>
        <w:ind w:left="4669" w:hanging="180"/>
      </w:pPr>
    </w:lvl>
    <w:lvl w:ilvl="6" w:tplc="22522D5A">
      <w:start w:val="1"/>
      <w:numFmt w:val="decimal"/>
      <w:lvlText w:val="%7."/>
      <w:lvlJc w:val="left"/>
      <w:pPr>
        <w:ind w:left="5389" w:hanging="360"/>
      </w:pPr>
    </w:lvl>
    <w:lvl w:ilvl="7" w:tplc="283A989E">
      <w:start w:val="1"/>
      <w:numFmt w:val="lowerLetter"/>
      <w:lvlText w:val="%8."/>
      <w:lvlJc w:val="left"/>
      <w:pPr>
        <w:ind w:left="6109" w:hanging="360"/>
      </w:pPr>
    </w:lvl>
    <w:lvl w:ilvl="8" w:tplc="7DF6D23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aa1301">
    <w15:presenceInfo w15:providerId="Teamlab" w15:userId="aaa13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901"/>
    <w:rsid w:val="003B0DD0"/>
    <w:rsid w:val="004C35B8"/>
    <w:rsid w:val="005525D1"/>
    <w:rsid w:val="005B0ADF"/>
    <w:rsid w:val="00765901"/>
    <w:rsid w:val="00D01110"/>
    <w:rsid w:val="00E109BD"/>
    <w:rsid w:val="00FC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6590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76590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6590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76590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6590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76590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6590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76590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65901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76590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6590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76590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6590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76590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6590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76590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6590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76590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76590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76590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6590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65901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76590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6590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6590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6590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6590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65901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765901"/>
  </w:style>
  <w:style w:type="paragraph" w:customStyle="1" w:styleId="Footer">
    <w:name w:val="Footer"/>
    <w:basedOn w:val="a"/>
    <w:link w:val="CaptionChar"/>
    <w:uiPriority w:val="99"/>
    <w:unhideWhenUsed/>
    <w:rsid w:val="00765901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76590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65901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65901"/>
  </w:style>
  <w:style w:type="table" w:customStyle="1" w:styleId="TableGridLight">
    <w:name w:val="Table Grid Light"/>
    <w:basedOn w:val="a1"/>
    <w:uiPriority w:val="59"/>
    <w:rsid w:val="0076590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6590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659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659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659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765901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765901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765901"/>
    <w:rPr>
      <w:sz w:val="18"/>
    </w:rPr>
  </w:style>
  <w:style w:type="character" w:styleId="ad">
    <w:name w:val="footnote reference"/>
    <w:basedOn w:val="a0"/>
    <w:uiPriority w:val="99"/>
    <w:unhideWhenUsed/>
    <w:rsid w:val="00765901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765901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765901"/>
    <w:rPr>
      <w:sz w:val="20"/>
    </w:rPr>
  </w:style>
  <w:style w:type="character" w:styleId="af0">
    <w:name w:val="endnote reference"/>
    <w:basedOn w:val="a0"/>
    <w:uiPriority w:val="99"/>
    <w:semiHidden/>
    <w:unhideWhenUsed/>
    <w:rsid w:val="0076590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65901"/>
    <w:pPr>
      <w:spacing w:after="57"/>
    </w:pPr>
  </w:style>
  <w:style w:type="paragraph" w:styleId="21">
    <w:name w:val="toc 2"/>
    <w:basedOn w:val="a"/>
    <w:next w:val="a"/>
    <w:uiPriority w:val="39"/>
    <w:unhideWhenUsed/>
    <w:rsid w:val="0076590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6590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6590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6590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6590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6590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6590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65901"/>
    <w:pPr>
      <w:spacing w:after="57"/>
      <w:ind w:left="2268"/>
    </w:pPr>
  </w:style>
  <w:style w:type="paragraph" w:styleId="af1">
    <w:name w:val="TOC Heading"/>
    <w:uiPriority w:val="39"/>
    <w:unhideWhenUsed/>
    <w:rsid w:val="00765901"/>
  </w:style>
  <w:style w:type="paragraph" w:styleId="af2">
    <w:name w:val="table of figures"/>
    <w:basedOn w:val="a"/>
    <w:next w:val="a"/>
    <w:uiPriority w:val="99"/>
    <w:unhideWhenUsed/>
    <w:rsid w:val="00765901"/>
  </w:style>
  <w:style w:type="paragraph" w:styleId="af3">
    <w:name w:val="List Paragraph"/>
    <w:basedOn w:val="a"/>
    <w:uiPriority w:val="34"/>
    <w:qFormat/>
    <w:rsid w:val="00765901"/>
    <w:pPr>
      <w:ind w:left="720"/>
      <w:contextualSpacing/>
    </w:pPr>
    <w:rPr>
      <w:sz w:val="20"/>
      <w:szCs w:val="20"/>
      <w:lang w:val="en-US" w:eastAsia="ru-RU"/>
    </w:rPr>
  </w:style>
  <w:style w:type="table" w:styleId="af4">
    <w:name w:val="Table Grid"/>
    <w:basedOn w:val="a1"/>
    <w:uiPriority w:val="39"/>
    <w:rsid w:val="007659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semiHidden/>
    <w:unhideWhenUsed/>
    <w:rsid w:val="0076590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76590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7">
    <w:name w:val="annotation reference"/>
    <w:basedOn w:val="a0"/>
    <w:uiPriority w:val="99"/>
    <w:semiHidden/>
    <w:unhideWhenUsed/>
    <w:rsid w:val="00765901"/>
    <w:rPr>
      <w:sz w:val="16"/>
      <w:szCs w:val="16"/>
    </w:rPr>
  </w:style>
  <w:style w:type="paragraph" w:styleId="af8">
    <w:name w:val="Balloon Text"/>
    <w:basedOn w:val="a"/>
    <w:link w:val="af9"/>
    <w:uiPriority w:val="99"/>
    <w:semiHidden/>
    <w:unhideWhenUsed/>
    <w:rsid w:val="00D01110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D0111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25</cp:revision>
  <cp:lastPrinted>2023-12-20T05:49:00Z</cp:lastPrinted>
  <dcterms:created xsi:type="dcterms:W3CDTF">2023-06-15T04:10:00Z</dcterms:created>
  <dcterms:modified xsi:type="dcterms:W3CDTF">2023-12-20T05:52:00Z</dcterms:modified>
</cp:coreProperties>
</file>