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 w:eastAsia="ru-RU"/>
        </w:rPr>
      </w:pPr>
      <w:r>
        <w:rPr/>
        <w:drawing>
          <wp:inline distT="0" distB="0" distL="0" distR="0">
            <wp:extent cx="438150" cy="723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4" t="-120" r="-184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0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spacing w:before="57" w:after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ОТДЕЛ КУЛЬТУРЫ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ПРИКАЗ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«09» января 2024г.                                                                  г. Шарыпово № 12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Autospacing="0" w:before="0" w:afterAutospacing="0" w:after="0"/>
        <w:ind w:left="-142" w:hanging="0"/>
        <w:jc w:val="both"/>
        <w:rPr/>
      </w:pPr>
      <w:r>
        <w:rPr/>
        <w:tab/>
        <w:t xml:space="preserve">  </w:t>
      </w:r>
      <w:r>
        <w:rPr>
          <w:sz w:val="28"/>
          <w:szCs w:val="28"/>
        </w:rPr>
        <w:t xml:space="preserve"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 95, </w:t>
      </w:r>
      <w:r>
        <w:rPr>
          <w:color w:val="000000"/>
          <w:sz w:val="28"/>
          <w:szCs w:val="28"/>
        </w:rPr>
        <w:t>ПРИКАЗЫВАЮ:</w:t>
      </w:r>
    </w:p>
    <w:p>
      <w:pPr>
        <w:pStyle w:val="Style18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4" w:hanging="284"/>
        <w:jc w:val="both"/>
        <w:rPr/>
      </w:pPr>
      <w:r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базовые нормативы затрат на оказание муниципальных услуг учреждений, подведомственных Отделу культуры администрации города Шарыпово на 2024 год и плановый период 2025-2026 годов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приложений № 1,2,3 соответственно.</w:t>
      </w:r>
    </w:p>
    <w:p>
      <w:pPr>
        <w:pStyle w:val="Normal"/>
        <w:ind w:left="284" w:hanging="284"/>
        <w:jc w:val="both"/>
        <w:rPr/>
      </w:pPr>
      <w:r>
        <w:rPr>
          <w:sz w:val="28"/>
          <w:szCs w:val="28"/>
        </w:rPr>
        <w:t xml:space="preserve">2. Контроль за исполнением настоящего приказа возложить на директоров </w:t>
      </w:r>
      <w:r>
        <w:rPr>
          <w:color w:val="000000"/>
          <w:sz w:val="28"/>
          <w:szCs w:val="28"/>
        </w:rPr>
        <w:t>учреждений, подведомственных Отделу культуры администрации города Шарыпово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Приказ вступает в силу со дня его подписания и применяется к правоотношениям, возникшим с     01.01.2024 года.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sectPr>
          <w:type w:val="nextPage"/>
          <w:pgSz w:w="12240" w:h="15840"/>
          <w:pgMar w:left="1843" w:right="851" w:gutter="0" w:header="0" w:top="1134" w:footer="0" w:bottom="1134"/>
          <w:pgNumType w:fmt="decimal"/>
          <w:formProt w:val="false"/>
          <w:textDirection w:val="lrTb"/>
          <w:docGrid w:type="default" w:linePitch="100" w:charSpace="8192"/>
        </w:sect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С.Н.Гроза</w:t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«09» 01. 2024г. № 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Значения базовых нормативы затрат на оказание муниципальных услуг, учреждений, подведомственных Отделу культуры администрации города Шарыпово на 2024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7"/>
        <w:gridCol w:w="1250"/>
        <w:gridCol w:w="1170"/>
        <w:gridCol w:w="1039"/>
        <w:gridCol w:w="1083"/>
        <w:gridCol w:w="884"/>
        <w:gridCol w:w="882"/>
        <w:gridCol w:w="883"/>
        <w:gridCol w:w="1045"/>
        <w:gridCol w:w="983"/>
        <w:gridCol w:w="884"/>
        <w:gridCol w:w="1499"/>
      </w:tblGrid>
      <w:tr>
        <w:trPr/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муниципальной услуги </w:t>
            </w:r>
          </w:p>
        </w:tc>
        <w:tc>
          <w:tcPr>
            <w:tcW w:w="3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Затраты, непосредственно связанные с оказанием услуги, руб.</w:t>
            </w:r>
          </w:p>
        </w:tc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Затраты на общехозяйственные нужды, руб.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2" w:right="-90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МЗ и ОЦДИ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СОЦДИ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ТУ, Иные услуги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ПНЗ</w:t>
            </w:r>
          </w:p>
        </w:tc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2" w:right="-90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67,681094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9,774345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0,047863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0,017806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0,001798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0,006833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0,002328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0,025887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0,000933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77,558887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75,839095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6,365880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0,053632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0,003421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0,001605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0,003155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0,029007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0,001045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82,297262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Публичный показ музейных предметов, музейных коллекций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99,678166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5,029223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0,041942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0,001031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0,001016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0,006408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0,001511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104,759297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58,201826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19,000842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3,146542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0,097478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80,446688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1081,605102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240,946778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21,347121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109,358542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7,496683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46,831322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6,240970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1513,826518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Показ (организация показа) спектаклей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361,316937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126,180628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41,485259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0,604927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0,769655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0,143007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10,400725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540,901138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(Хореографическое творчество)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125,161577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0,209792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0,002721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0,008826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0,241111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0,779209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16,827073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0,025106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(Живопись)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155,294764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0,361502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0,005960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0,030077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0,139996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0,444907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0,014577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(Фортепиано)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154,685650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0,084111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0,004201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0,006967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0,601691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1,912169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16,508036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0,062652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(Струнные инструменты)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292,477238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0,014993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0,005406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0,003338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3,375534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10,727426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0,351483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(Народные инструменты)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148,521167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0,048619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0,003981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0,005382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1,040932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3,308077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0,108390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145,467659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0,033664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0,003882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0,002622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1,503330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4,858369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0,156537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</w:tr>
      <w:tr>
        <w:trPr/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92" w:right="-90" w:hanging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дополнительных общеобразовательных общеразвивающих программ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144,953787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4,187725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0,003004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0,006879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0,378565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1,511352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16,877322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0,039419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92" w:right="-9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</w:tr>
    </w:tbl>
    <w:p>
      <w:pPr>
        <w:pStyle w:val="Normal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ОТ1 </w:t>
      </w:r>
      <w:r>
        <w:rPr>
          <w:color w:val="000000"/>
          <w:sz w:val="24"/>
          <w:szCs w:val="24"/>
        </w:rPr>
        <w:t>– затраты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МЗ и ОЦДИ </w:t>
      </w:r>
      <w:r>
        <w:rPr>
          <w:color w:val="000000"/>
          <w:sz w:val="24"/>
          <w:szCs w:val="24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ИНЗ </w:t>
      </w:r>
      <w:r>
        <w:rPr>
          <w:color w:val="000000"/>
          <w:sz w:val="24"/>
          <w:szCs w:val="24"/>
        </w:rPr>
        <w:t>– иные затраты, непосредственно связанные с оказанием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КУ </w:t>
      </w:r>
      <w:r>
        <w:rPr>
          <w:color w:val="000000"/>
          <w:sz w:val="24"/>
          <w:szCs w:val="24"/>
        </w:rPr>
        <w:t>– затраты на коммунальные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СНИ </w:t>
      </w:r>
      <w:r>
        <w:rPr>
          <w:color w:val="000000"/>
          <w:sz w:val="24"/>
          <w:szCs w:val="24"/>
        </w:rPr>
        <w:t>– затраты на содержание объектов недвижимого имущества, необходимого для выполнения муниципального задания;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СОЦДИ</w:t>
      </w:r>
      <w:r>
        <w:rPr>
          <w:color w:val="000000"/>
          <w:sz w:val="24"/>
          <w:szCs w:val="24"/>
        </w:rPr>
        <w:t xml:space="preserve"> – затраты на содержание объектов особо ценного движимого имущества, необходимого для выполнения муниципального задания;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УС </w:t>
      </w:r>
      <w:r>
        <w:rPr>
          <w:color w:val="000000"/>
          <w:sz w:val="24"/>
          <w:szCs w:val="24"/>
        </w:rPr>
        <w:t>– затраты на приобретение услуг связи;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ТУ, Иные услуги</w:t>
      </w:r>
      <w:r>
        <w:rPr>
          <w:color w:val="000000"/>
          <w:sz w:val="24"/>
          <w:szCs w:val="24"/>
        </w:rPr>
        <w:t xml:space="preserve"> – затраты на приобретение транспортных услуг, иных услуг;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ОТ2 </w:t>
      </w:r>
      <w:r>
        <w:rPr>
          <w:color w:val="000000"/>
          <w:sz w:val="24"/>
          <w:szCs w:val="24"/>
        </w:rPr>
        <w:t>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ПНЗ</w:t>
      </w:r>
      <w:r>
        <w:rPr>
          <w:color w:val="000000"/>
          <w:sz w:val="24"/>
          <w:szCs w:val="24"/>
        </w:rPr>
        <w:t xml:space="preserve"> – затраты на прочие общехозяйственные нужды на оказание муниципальной услуги. 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 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8192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«09» 01. 2024г. № 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Значения базовых нормативы затрат на оказание муниципальных услуг, учреждений, подведомственных Отделу культуры администрации города Шарыпово на 2025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6"/>
        <w:gridCol w:w="1259"/>
        <w:gridCol w:w="1174"/>
        <w:gridCol w:w="1048"/>
        <w:gridCol w:w="1102"/>
        <w:gridCol w:w="903"/>
        <w:gridCol w:w="901"/>
        <w:gridCol w:w="903"/>
        <w:gridCol w:w="1053"/>
        <w:gridCol w:w="1003"/>
        <w:gridCol w:w="901"/>
        <w:gridCol w:w="1466"/>
      </w:tblGrid>
      <w:tr>
        <w:trPr/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муниципальной услуги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Затраты, непосредственно связанные с оказанием услуги, руб.</w:t>
            </w:r>
          </w:p>
        </w:tc>
        <w:tc>
          <w:tcPr>
            <w:tcW w:w="6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Затраты на общехозяйственные нужды, руб.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1" w:right="-104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МЗ и ОЦДИ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ИНЗ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СОЦДИ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ТУ, Иные услуги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ПНЗ</w:t>
            </w:r>
          </w:p>
        </w:tc>
        <w:tc>
          <w:tcPr>
            <w:tcW w:w="1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1" w:right="-104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52,911542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7,298728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0,035741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0,013296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0,001343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0,005102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0,001723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0,020223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0,000697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60,288395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79,399293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6,300437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0,284785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0,003421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0,001605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0,003155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0,095812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0,001045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86,089975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Публичный показ музейных предметов, музейных коллекций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99,565024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5,023514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0,041894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0,001031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0,001015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0,006408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0,001510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104,640396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58,199826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19,000469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3,146434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0,097455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1080,266482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240,645724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21,320701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109,088020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7,478139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46,715475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6,225530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Показ (организация показа) спектаклей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361,028114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126,081407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41,485259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0,604927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0,769655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0,143007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10,400726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540,513095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(Хореографическое творчество)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125,161577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0,209792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0,002721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0,008826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0,241111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0,779209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16,827073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0,025106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(Живопись)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155,294764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0,361502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0,005960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0,030077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0,139996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0,444907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0,014577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(Фортепиано)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154,685650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0,084111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0,004201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0,006967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0,601691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1,912169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16,508036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0,062652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(Струнные инструменты)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292,477238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0,014993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0,005406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0,003338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3,375534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10,727426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0,351483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(Народные инструменты)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148,521167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0,048619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0,003981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0,005382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1,040932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3,308077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0,108390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145,467659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0,033664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0,003882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0,002622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1,503330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4,858369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0,156537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4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общеобразовательных общеразвивающих программ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144,953787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4,187725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0,006879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0,378565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1,511352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16,877322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0,039419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</w:tr>
    </w:tbl>
    <w:p>
      <w:pPr>
        <w:pStyle w:val="Normal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ОТ1 </w:t>
      </w:r>
      <w:r>
        <w:rPr>
          <w:color w:val="000000"/>
          <w:sz w:val="24"/>
          <w:szCs w:val="24"/>
        </w:rPr>
        <w:t>– затраты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МЗ и ОЦДИ </w:t>
      </w:r>
      <w:r>
        <w:rPr>
          <w:color w:val="000000"/>
          <w:sz w:val="24"/>
          <w:szCs w:val="24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ИНЗ </w:t>
      </w:r>
      <w:r>
        <w:rPr>
          <w:color w:val="000000"/>
          <w:sz w:val="24"/>
          <w:szCs w:val="24"/>
        </w:rPr>
        <w:t>– иные затраты, непосредственно связанные с оказанием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КУ </w:t>
      </w:r>
      <w:r>
        <w:rPr>
          <w:color w:val="000000"/>
          <w:sz w:val="24"/>
          <w:szCs w:val="24"/>
        </w:rPr>
        <w:t>– затраты на коммунальные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СНИ </w:t>
      </w:r>
      <w:r>
        <w:rPr>
          <w:color w:val="000000"/>
          <w:sz w:val="24"/>
          <w:szCs w:val="24"/>
        </w:rPr>
        <w:t>– затраты на содержание объектов недвижимого имущества, необходимого для выполнения муниципального задания;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СОЦДИ</w:t>
      </w:r>
      <w:r>
        <w:rPr>
          <w:color w:val="000000"/>
          <w:sz w:val="24"/>
          <w:szCs w:val="24"/>
        </w:rPr>
        <w:t xml:space="preserve"> – затраты на содержание объектов особо ценного движимого имущества, необходимого для выполнения муниципального задания;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УС </w:t>
      </w:r>
      <w:r>
        <w:rPr>
          <w:color w:val="000000"/>
          <w:sz w:val="24"/>
          <w:szCs w:val="24"/>
        </w:rPr>
        <w:t>– затраты на приобретение услуг связи;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ТУ, Иные услуги</w:t>
      </w:r>
      <w:r>
        <w:rPr>
          <w:color w:val="000000"/>
          <w:sz w:val="24"/>
          <w:szCs w:val="24"/>
        </w:rPr>
        <w:t xml:space="preserve"> – затраты на приобретение транспортных услуг, иных услуг;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ОТ2 </w:t>
      </w:r>
      <w:r>
        <w:rPr>
          <w:color w:val="000000"/>
          <w:sz w:val="24"/>
          <w:szCs w:val="24"/>
        </w:rPr>
        <w:t>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ПНЗ</w:t>
      </w:r>
      <w:r>
        <w:rPr>
          <w:color w:val="000000"/>
          <w:sz w:val="24"/>
          <w:szCs w:val="24"/>
        </w:rPr>
        <w:t xml:space="preserve"> – затраты на прочие общехозяйственные нужды на оказание муниципальной услуги. 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 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8192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«09» 01. 2024г. № 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Значения базовых нормативы затрат на оказание муниципальных услуг, учреждений, подведомственных Отделу культуры администрации города Шарыпово на 2026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6"/>
        <w:gridCol w:w="1259"/>
        <w:gridCol w:w="1174"/>
        <w:gridCol w:w="1048"/>
        <w:gridCol w:w="1102"/>
        <w:gridCol w:w="903"/>
        <w:gridCol w:w="901"/>
        <w:gridCol w:w="903"/>
        <w:gridCol w:w="1053"/>
        <w:gridCol w:w="1003"/>
        <w:gridCol w:w="901"/>
        <w:gridCol w:w="1466"/>
      </w:tblGrid>
      <w:tr>
        <w:trPr/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муниципальной услуги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Затраты, непосредственно связанные с оказанием услуги, руб.</w:t>
            </w:r>
          </w:p>
        </w:tc>
        <w:tc>
          <w:tcPr>
            <w:tcW w:w="6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Затраты на общехозяйственные нужды, руб.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1" w:right="-108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МЗ и ОЦДИ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ИНЗ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СОЦДИ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ТУ, Иные услуги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ПНЗ</w:t>
            </w:r>
          </w:p>
        </w:tc>
        <w:tc>
          <w:tcPr>
            <w:tcW w:w="1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1" w:right="-108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52,911542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7,298728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0,035741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0,013296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0,001343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0,005102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0,001723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0,020223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0,000697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60,288395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79,399293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6,300437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0,284785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0,003421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0,001605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0,003155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0,095812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0,001045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86,089975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Публичный показ музейных предметов, музейных коллекций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99,565024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5,023514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0,041894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0,001031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0,001015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0,006408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0,001510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104,640396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58,199826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19,000469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3,146434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0,097455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1080,266482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240,645724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21,320701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109,088020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7,478139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46,715475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6,225530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Показ (организация показа) спектаклей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361,028114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126,081407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41,485259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0,604927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0,769655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0,143007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10,400726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540,513095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(Хореографическое творчество)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125,161577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0,209792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0,002721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0,008826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0,241111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0,779209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16,827073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0,025106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(Живопись)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155,294764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0,361502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0,005960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0,030077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0,139996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0,444907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0,014577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(Фортепиано)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154,685650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0,084111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0,004201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0,006967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0,601691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1,912169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16,508036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0,062652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(Струнные инструменты)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292,477238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0,014993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0,005406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0,003338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3,375534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10,727426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0,351483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предпрофессиональных программ в области искусства (Народные инструменты)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148,521167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0,048619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0,003981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0,005382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1,040932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3,308077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0,108390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145,467659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0,033664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0,003882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0,002622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1,503330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4,858369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16,835606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0,156537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</w:tr>
      <w:tr>
        <w:trPr/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08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Услуга 7</w:t>
            </w:r>
            <w:r>
              <w:rPr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Реализация дополнительных общеобразовательных общеразвивающих программ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144,953787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4,187725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0,006879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0,378565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1,511352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16,877322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0,039419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</w:tr>
    </w:tbl>
    <w:p>
      <w:pPr>
        <w:pStyle w:val="Normal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ОТ1 </w:t>
      </w:r>
      <w:r>
        <w:rPr>
          <w:color w:val="000000"/>
          <w:sz w:val="24"/>
          <w:szCs w:val="24"/>
        </w:rPr>
        <w:t>– затраты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МЗ и ОЦДИ </w:t>
      </w:r>
      <w:r>
        <w:rPr>
          <w:color w:val="000000"/>
          <w:sz w:val="24"/>
          <w:szCs w:val="24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ИНЗ </w:t>
      </w:r>
      <w:r>
        <w:rPr>
          <w:color w:val="000000"/>
          <w:sz w:val="24"/>
          <w:szCs w:val="24"/>
        </w:rPr>
        <w:t>– иные затраты, непосредственно связанные с оказанием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КУ </w:t>
      </w:r>
      <w:r>
        <w:rPr>
          <w:color w:val="000000"/>
          <w:sz w:val="24"/>
          <w:szCs w:val="24"/>
        </w:rPr>
        <w:t>– затраты на коммунальные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СНИ </w:t>
      </w:r>
      <w:r>
        <w:rPr>
          <w:color w:val="000000"/>
          <w:sz w:val="24"/>
          <w:szCs w:val="24"/>
        </w:rPr>
        <w:t>– затраты на содержание объектов недвижимого имущества, необходимого для выполнения муниципального задания;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СОЦДИ</w:t>
      </w:r>
      <w:r>
        <w:rPr>
          <w:color w:val="000000"/>
          <w:sz w:val="24"/>
          <w:szCs w:val="24"/>
        </w:rPr>
        <w:t xml:space="preserve"> – затраты на содержание объектов особо ценного движимого имущества, необходимого для выполнения муниципального задания;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УС </w:t>
      </w:r>
      <w:r>
        <w:rPr>
          <w:color w:val="000000"/>
          <w:sz w:val="24"/>
          <w:szCs w:val="24"/>
        </w:rPr>
        <w:t>– затраты на приобретение услуг связи;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ТУ, Иные услуги</w:t>
      </w:r>
      <w:r>
        <w:rPr>
          <w:color w:val="000000"/>
          <w:sz w:val="24"/>
          <w:szCs w:val="24"/>
        </w:rPr>
        <w:t xml:space="preserve"> – затраты на приобретение транспортных услуг, иных услуг;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ОТ2 </w:t>
      </w:r>
      <w:r>
        <w:rPr>
          <w:color w:val="000000"/>
          <w:sz w:val="24"/>
          <w:szCs w:val="24"/>
        </w:rPr>
        <w:t>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ПНЗ</w:t>
      </w:r>
      <w:r>
        <w:rPr>
          <w:color w:val="000000"/>
          <w:sz w:val="24"/>
          <w:szCs w:val="24"/>
        </w:rPr>
        <w:t xml:space="preserve"> – затраты на прочие общехозяйственные нужды на оказание муниципальной услуги. 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843" w:footer="0" w:bottom="85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21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3e3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1"/>
    <w:semiHidden/>
    <w:unhideWhenUsed/>
    <w:qFormat/>
    <w:rsid w:val="009503d4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semiHidden/>
    <w:qFormat/>
    <w:rsid w:val="009503d4"/>
    <w:rPr>
      <w:b/>
      <w:bCs/>
      <w:sz w:val="36"/>
      <w:szCs w:val="36"/>
    </w:rPr>
  </w:style>
  <w:style w:type="character" w:styleId="-">
    <w:name w:val="Hyperlink"/>
    <w:semiHidden/>
    <w:unhideWhenUsed/>
    <w:rsid w:val="009503d4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9503d4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нак1"/>
    <w:basedOn w:val="Normal"/>
    <w:qFormat/>
    <w:rsid w:val="00d43614"/>
    <w:pPr>
      <w:spacing w:lineRule="exact" w:line="240" w:before="0" w:after="160"/>
      <w:jc w:val="both"/>
    </w:pPr>
    <w:rPr>
      <w:rFonts w:ascii="Verdana" w:hAnsi="Verdana" w:cs="Arial"/>
      <w:lang w:val="en-US" w:eastAsia="en-US"/>
    </w:rPr>
  </w:style>
  <w:style w:type="paragraph" w:styleId="ConsPlusTitle" w:customStyle="1">
    <w:name w:val="ConsPlusTitle"/>
    <w:qFormat/>
    <w:rsid w:val="00d4361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semiHidden/>
    <w:qFormat/>
    <w:rsid w:val="00525331"/>
    <w:pPr/>
    <w:rPr>
      <w:rFonts w:ascii="Tahoma" w:hAnsi="Tahoma" w:cs="Tahoma"/>
      <w:sz w:val="16"/>
      <w:szCs w:val="16"/>
    </w:rPr>
  </w:style>
  <w:style w:type="paragraph" w:styleId="Style18" w:customStyle="1">
    <w:name w:val="Обычный (веб)"/>
    <w:basedOn w:val="Normal"/>
    <w:unhideWhenUsed/>
    <w:qFormat/>
    <w:rsid w:val="009503d4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01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LibreOffice/7.5.5.2$Windows_X86_64 LibreOffice_project/ca8fe7424262805f223b9a2334bc7181abbcbf5e</Application>
  <AppVersion>15.0000</AppVersion>
  <Pages>10</Pages>
  <Words>1471</Words>
  <Characters>11139</Characters>
  <CharactersWithSpaces>12337</CharactersWithSpaces>
  <Paragraphs>507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2024-01-11T02:47:00Z</dcterms:created>
  <dc:creator>User</dc:creator>
  <dc:description/>
  <dc:language>ru-RU</dc:language>
  <cp:lastModifiedBy/>
  <cp:lastPrinted>2023-12-25T04:34:00Z</cp:lastPrinted>
  <dcterms:modified xsi:type="dcterms:W3CDTF">2024-01-15T10:58:37Z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