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ind w:left="0" w:hanging="0"/>
        <w:jc w:val="both"/>
        <w:outlineLvl w:val="0"/>
        <w:rPr/>
      </w:pPr>
      <w:r>
        <w:rPr/>
      </w:r>
    </w:p>
    <w:tbl>
      <w:tblPr>
        <w:tblW w:w="10206" w:type="dxa"/>
        <w:jc w:val="left"/>
        <w:tblInd w:w="217" w:type="dxa"/>
        <w:tblLayout w:type="fixed"/>
        <w:tblCellMar>
          <w:top w:w="0" w:type="dxa"/>
          <w:left w:w="108" w:type="dxa"/>
          <w:bottom w:w="0" w:type="dxa"/>
          <w:right w:w="108" w:type="dxa"/>
        </w:tblCellMar>
        <w:tblLook w:val="04a0"/>
      </w:tblPr>
      <w:tblGrid>
        <w:gridCol w:w="10206"/>
      </w:tblGrid>
      <w:tr>
        <w:trPr>
          <w:trHeight w:val="1984" w:hRule="atLeast"/>
        </w:trPr>
        <w:tc>
          <w:tcPr>
            <w:tcW w:w="10206" w:type="dxa"/>
            <w:tcBorders/>
          </w:tcPr>
          <w:p>
            <w:pPr>
              <w:pStyle w:val="Normal"/>
              <w:widowControl w:val="false"/>
              <w:spacing w:lineRule="auto" w:line="240" w:before="0" w:after="0"/>
              <w:jc w:val="center"/>
              <w:rPr>
                <w:rFonts w:ascii="Times New Roman" w:hAnsi="Times New Roman" w:eastAsia="" w:eastAsiaTheme="minorEastAsia"/>
                <w:b/>
                <w:sz w:val="28"/>
                <w:szCs w:val="28"/>
              </w:rPr>
            </w:pPr>
            <w:r>
              <w:rPr>
                <w:rFonts w:eastAsia="" w:eastAsiaTheme="minorEastAsia" w:ascii="Times New Roman" w:hAnsi="Times New Roman"/>
                <w:b/>
                <w:sz w:val="28"/>
                <w:szCs w:val="28"/>
              </w:rPr>
            </w:r>
          </w:p>
          <w:p>
            <w:pPr>
              <w:pStyle w:val="Normal"/>
              <w:widowControl w:val="false"/>
              <w:spacing w:lineRule="auto" w:line="240" w:before="0" w:after="0"/>
              <w:jc w:val="center"/>
              <w:rPr>
                <w:rFonts w:ascii="Times New Roman" w:hAnsi="Times New Roman" w:eastAsia="" w:eastAsiaTheme="minorEastAsia"/>
                <w:sz w:val="28"/>
                <w:szCs w:val="28"/>
              </w:rPr>
            </w:pPr>
            <w:bookmarkStart w:id="0" w:name="_Hlk115176197"/>
            <w:r>
              <w:rPr>
                <w:rFonts w:eastAsia="" w:ascii="Times New Roman" w:hAnsi="Times New Roman" w:eastAsiaTheme="minorEastAsia"/>
                <w:b/>
                <w:sz w:val="28"/>
                <w:szCs w:val="28"/>
              </w:rPr>
              <w:t>АДМИНИСТРАЦИЯ ГОРОДА ШАРЫПОВО КРАСНОЯРСКОГО КРАЯ</w:t>
            </w:r>
            <w:bookmarkEnd w:id="0"/>
          </w:p>
          <w:p>
            <w:pPr>
              <w:pStyle w:val="Normal"/>
              <w:widowControl w:val="false"/>
              <w:spacing w:lineRule="auto" w:line="240" w:before="0" w:after="0"/>
              <w:jc w:val="center"/>
              <w:rPr>
                <w:rFonts w:ascii="Times New Roman" w:hAnsi="Times New Roman" w:eastAsia="" w:eastAsiaTheme="minorEastAsia"/>
                <w:b/>
                <w:sz w:val="28"/>
                <w:szCs w:val="28"/>
              </w:rPr>
            </w:pPr>
            <w:r>
              <w:rPr>
                <w:rFonts w:eastAsia="" w:eastAsiaTheme="minorEastAsia" w:ascii="Times New Roman" w:hAnsi="Times New Roman"/>
                <w:b/>
                <w:sz w:val="28"/>
                <w:szCs w:val="28"/>
              </w:rPr>
            </w:r>
            <w:bookmarkStart w:id="1" w:name="_Hlk115171399"/>
            <w:bookmarkStart w:id="2" w:name="_Hlk115171399"/>
            <w:bookmarkEnd w:id="2"/>
          </w:p>
        </w:tc>
      </w:tr>
    </w:tbl>
    <w:p>
      <w:pPr>
        <w:pStyle w:val="Normal"/>
        <w:spacing w:lineRule="auto" w:line="240" w:before="0" w:after="0"/>
        <w:jc w:val="center"/>
        <w:rPr>
          <w:rFonts w:ascii="Times New Roman" w:hAnsi="Times New Roman"/>
          <w:b/>
          <w:sz w:val="28"/>
          <w:szCs w:val="24"/>
        </w:rPr>
      </w:pPr>
      <w:r>
        <w:rPr>
          <w:rFonts w:ascii="Times New Roman" w:hAnsi="Times New Roman"/>
          <w:b/>
          <w:sz w:val="28"/>
          <w:szCs w:val="24"/>
        </w:rPr>
        <w:t>ПОСТАНОВЛЕНИЕ</w:t>
      </w:r>
    </w:p>
    <w:p>
      <w:pPr>
        <w:pStyle w:val="Normal"/>
        <w:tabs>
          <w:tab w:val="clear" w:pos="720"/>
          <w:tab w:val="left" w:pos="4820" w:leader="none"/>
        </w:tabs>
        <w:spacing w:lineRule="auto" w:line="240" w:before="0" w:after="0"/>
        <w:rPr>
          <w:rFonts w:ascii="Times New Roman" w:hAnsi="Times New Roman"/>
          <w:sz w:val="32"/>
          <w:szCs w:val="32"/>
        </w:rPr>
      </w:pPr>
      <w:r>
        <w:rPr>
          <w:rFonts w:ascii="Times New Roman" w:hAnsi="Times New Roman"/>
          <w:sz w:val="32"/>
          <w:szCs w:val="32"/>
        </w:rPr>
      </w:r>
    </w:p>
    <w:tbl>
      <w:tblPr>
        <w:tblW w:w="10206" w:type="dxa"/>
        <w:jc w:val="left"/>
        <w:tblInd w:w="217" w:type="dxa"/>
        <w:tblLayout w:type="fixed"/>
        <w:tblCellMar>
          <w:top w:w="0" w:type="dxa"/>
          <w:left w:w="108" w:type="dxa"/>
          <w:bottom w:w="0" w:type="dxa"/>
          <w:right w:w="108" w:type="dxa"/>
        </w:tblCellMar>
        <w:tblLook w:val="01e0"/>
      </w:tblPr>
      <w:tblGrid>
        <w:gridCol w:w="3614"/>
        <w:gridCol w:w="3192"/>
        <w:gridCol w:w="3400"/>
      </w:tblGrid>
      <w:tr>
        <w:trPr/>
        <w:tc>
          <w:tcPr>
            <w:tcW w:w="3614" w:type="dxa"/>
            <w:tcBorders/>
          </w:tcPr>
          <w:p>
            <w:pPr>
              <w:pStyle w:val="Normal"/>
              <w:widowControl w:val="false"/>
              <w:spacing w:lineRule="auto" w:line="240" w:before="0" w:after="0"/>
              <w:rPr>
                <w:rFonts w:ascii="Times New Roman" w:hAnsi="Times New Roman" w:eastAsia="" w:eastAsiaTheme="minorEastAsia"/>
                <w:sz w:val="28"/>
                <w:szCs w:val="28"/>
              </w:rPr>
            </w:pPr>
            <w:r>
              <w:rPr>
                <w:rFonts w:eastAsia="" w:ascii="Times New Roman" w:hAnsi="Times New Roman" w:eastAsiaTheme="minorEastAsia"/>
                <w:sz w:val="28"/>
                <w:szCs w:val="28"/>
              </w:rPr>
              <w:t>19.12.2022</w:t>
            </w:r>
          </w:p>
        </w:tc>
        <w:tc>
          <w:tcPr>
            <w:tcW w:w="3192" w:type="dxa"/>
            <w:tcBorders/>
          </w:tcPr>
          <w:p>
            <w:pPr>
              <w:pStyle w:val="Normal"/>
              <w:widowControl w:val="false"/>
              <w:spacing w:lineRule="auto" w:line="240" w:before="0" w:after="0"/>
              <w:jc w:val="center"/>
              <w:rPr>
                <w:rFonts w:ascii="Times New Roman" w:hAnsi="Times New Roman" w:eastAsia="" w:eastAsiaTheme="minorEastAsia"/>
                <w:sz w:val="28"/>
                <w:szCs w:val="28"/>
              </w:rPr>
            </w:pPr>
            <w:r>
              <w:rPr>
                <w:rFonts w:eastAsia="" w:eastAsiaTheme="minorEastAsia" w:ascii="Times New Roman" w:hAnsi="Times New Roman"/>
                <w:sz w:val="28"/>
                <w:szCs w:val="28"/>
              </w:rPr>
            </w:r>
          </w:p>
        </w:tc>
        <w:tc>
          <w:tcPr>
            <w:tcW w:w="3400" w:type="dxa"/>
            <w:tcBorders/>
          </w:tcPr>
          <w:p>
            <w:pPr>
              <w:pStyle w:val="Normal"/>
              <w:widowControl w:val="false"/>
              <w:spacing w:lineRule="auto" w:line="240" w:before="0" w:after="0"/>
              <w:jc w:val="center"/>
              <w:rPr>
                <w:rFonts w:ascii="Times New Roman" w:hAnsi="Times New Roman" w:eastAsia="" w:eastAsiaTheme="minorEastAsia"/>
                <w:sz w:val="28"/>
                <w:szCs w:val="28"/>
              </w:rPr>
            </w:pPr>
            <w:r>
              <w:rPr>
                <w:rFonts w:eastAsia="" w:ascii="Times New Roman" w:hAnsi="Times New Roman" w:eastAsiaTheme="minorEastAsia"/>
                <w:sz w:val="28"/>
                <w:szCs w:val="28"/>
              </w:rPr>
              <w:t xml:space="preserve">               № </w:t>
            </w:r>
            <w:r>
              <w:rPr>
                <w:rFonts w:eastAsia="" w:ascii="Times New Roman" w:hAnsi="Times New Roman" w:eastAsiaTheme="minorEastAsia"/>
                <w:sz w:val="28"/>
                <w:szCs w:val="28"/>
              </w:rPr>
              <w:t>413</w:t>
            </w:r>
          </w:p>
        </w:tc>
      </w:tr>
    </w:tbl>
    <w:p>
      <w:pPr>
        <w:pStyle w:val="ConsPlusTitle"/>
        <w:jc w:val="center"/>
        <w:rPr/>
      </w:pPr>
      <w:r>
        <w:rPr/>
      </w:r>
    </w:p>
    <w:p>
      <w:pPr>
        <w:pStyle w:val="ConsPlusNormal"/>
        <w:jc w:val="both"/>
        <w:rPr/>
      </w:pPr>
      <w:r>
        <w:rPr/>
      </w:r>
    </w:p>
    <w:p>
      <w:pPr>
        <w:pStyle w:val="ConsPlusNormal"/>
        <w:jc w:val="both"/>
        <w:rPr/>
      </w:pPr>
      <w:r>
        <w:rPr/>
        <w:t>Об утверждении Порядка бесплатного посещения семьями лиц, принимающих участие в специальной военной операции, муниципальных учреждений культуры муниципального образования города Шарыпово Красноярского края, клубных формирований, кинопоказов и иных мероприятий, проводимых (организуемых) указанными учреждениями</w:t>
      </w:r>
    </w:p>
    <w:p>
      <w:pPr>
        <w:pStyle w:val="ConsPlusNormal"/>
        <w:jc w:val="both"/>
        <w:rPr/>
      </w:pPr>
      <w:r>
        <w:rPr/>
      </w:r>
    </w:p>
    <w:p>
      <w:pPr>
        <w:pStyle w:val="ConsPlusNormal"/>
        <w:jc w:val="both"/>
        <w:rPr/>
      </w:pPr>
      <w:r>
        <w:rPr/>
      </w:r>
    </w:p>
    <w:p>
      <w:pPr>
        <w:pStyle w:val="ConsPlusNormal"/>
        <w:ind w:firstLine="540"/>
        <w:jc w:val="both"/>
        <w:rPr/>
      </w:pPr>
      <w:r>
        <w:rPr/>
        <w:t xml:space="preserve">В соответствии с </w:t>
      </w:r>
      <w:hyperlink r:id="rId2">
        <w:r>
          <w:rPr/>
          <w:t>Указом</w:t>
        </w:r>
      </w:hyperlink>
      <w:r>
        <w:rPr/>
        <w:t xml:space="preserve"> Губернатора Красноярского края от 25.10.2022г. № 317-уг «О социально-экономических мерах поддержки лиц, принимающих участие в специальной военной операции, и членов их семей», </w:t>
      </w:r>
    </w:p>
    <w:p>
      <w:pPr>
        <w:pStyle w:val="ConsPlusNormal"/>
        <w:ind w:firstLine="540"/>
        <w:jc w:val="both"/>
        <w:rPr/>
      </w:pPr>
      <w:r>
        <w:rPr/>
        <w:t>ПОСТАНОВЛЯЮ:</w:t>
      </w:r>
    </w:p>
    <w:p>
      <w:pPr>
        <w:pStyle w:val="ConsPlusNormal"/>
        <w:ind w:firstLine="540"/>
        <w:jc w:val="both"/>
        <w:rPr/>
      </w:pPr>
      <w:r>
        <w:rPr/>
        <w:t xml:space="preserve">1. Утвердить </w:t>
      </w:r>
      <w:hyperlink w:anchor="Par32" w:tgtFrame="ПОРЯДОК">
        <w:r>
          <w:rPr/>
          <w:t>Порядок</w:t>
        </w:r>
      </w:hyperlink>
      <w:r>
        <w:rPr/>
        <w:t xml:space="preserve"> бесплатного посещения семьями лиц, принимающих участие в специальной военной операции, муниципальных учреждений культуры муниципального образования города Шарыпово Красноярского края, клубных формирований, кинопоказов и иных мероприятий, проводимых (организуемых) указанными учреждениями, согласно приложению.</w:t>
      </w:r>
    </w:p>
    <w:p>
      <w:pPr>
        <w:pStyle w:val="ConsPlusNormal"/>
        <w:ind w:firstLine="540"/>
        <w:jc w:val="both"/>
        <w:rPr/>
      </w:pPr>
      <w:r>
        <w:rPr/>
        <w:t>2. Контроль за исполнением постановления возложить на заместителя Главы города Шарыпово по социальным вопросам Рудь Ю.В.</w:t>
      </w:r>
    </w:p>
    <w:p>
      <w:pPr>
        <w:pStyle w:val="ConsPlusNormal"/>
        <w:ind w:firstLine="540"/>
        <w:jc w:val="both"/>
        <w:rPr/>
      </w:pPr>
      <w:r>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t>Глава города Шарыпово</w:t>
        <w:tab/>
        <w:tab/>
        <w:tab/>
        <w:tab/>
        <w:tab/>
        <w:tab/>
        <w:tab/>
        <w:tab/>
        <w:t xml:space="preserve">         В.Г. Хохлов</w:t>
      </w:r>
    </w:p>
    <w:p>
      <w:pPr>
        <w:pStyle w:val="ConsPlusNormal"/>
        <w:jc w:val="both"/>
        <w:rPr/>
      </w:pPr>
      <w:r>
        <w:rPr/>
      </w:r>
    </w:p>
    <w:p>
      <w:pPr>
        <w:pStyle w:val="ConsPlusNormal"/>
        <w:numPr>
          <w:ilvl w:val="0"/>
          <w:numId w:val="0"/>
        </w:numPr>
        <w:ind w:left="0" w:hanging="0"/>
        <w:jc w:val="right"/>
        <w:outlineLvl w:val="0"/>
        <w:rPr/>
      </w:pPr>
      <w:r>
        <w:rPr/>
        <w:t>Приложение    к    Постановлению</w:t>
      </w:r>
    </w:p>
    <w:p>
      <w:pPr>
        <w:pStyle w:val="ConsPlusNormal"/>
        <w:jc w:val="right"/>
        <w:rPr/>
      </w:pPr>
      <w:r>
        <w:rPr/>
        <w:t>Администрации города Шарыпово</w:t>
      </w:r>
    </w:p>
    <w:p>
      <w:pPr>
        <w:pStyle w:val="ConsPlusNormal"/>
        <w:jc w:val="right"/>
        <w:rPr/>
      </w:pPr>
      <w:r>
        <w:rPr/>
        <w:t>от 19 декабря 2022 г. № 413</w:t>
      </w:r>
    </w:p>
    <w:p>
      <w:pPr>
        <w:pStyle w:val="ConsPlusNormal"/>
        <w:jc w:val="both"/>
        <w:rPr/>
      </w:pPr>
      <w:r>
        <w:rPr/>
      </w:r>
    </w:p>
    <w:p>
      <w:pPr>
        <w:pStyle w:val="ConsPlusTitle"/>
        <w:jc w:val="center"/>
        <w:rPr>
          <w:rFonts w:ascii="Times New Roman" w:hAnsi="Times New Roman" w:cs="Times New Roman"/>
          <w:b w:val="false"/>
        </w:rPr>
      </w:pPr>
      <w:bookmarkStart w:id="3" w:name="Par32"/>
      <w:bookmarkEnd w:id="3"/>
      <w:r>
        <w:rPr>
          <w:rFonts w:cs="Times New Roman" w:ascii="Times New Roman" w:hAnsi="Times New Roman"/>
          <w:b w:val="false"/>
        </w:rPr>
        <w:t>ПОРЯДОК</w:t>
      </w:r>
    </w:p>
    <w:p>
      <w:pPr>
        <w:pStyle w:val="ConsPlusTitle"/>
        <w:jc w:val="center"/>
        <w:rPr>
          <w:rFonts w:ascii="Times New Roman" w:hAnsi="Times New Roman" w:cs="Times New Roman"/>
          <w:b w:val="false"/>
        </w:rPr>
      </w:pPr>
      <w:r>
        <w:rPr>
          <w:rFonts w:cs="Times New Roman" w:ascii="Times New Roman" w:hAnsi="Times New Roman"/>
          <w:b w:val="false"/>
        </w:rPr>
        <w:t>бесплатного посещения семьями лиц, принимающих участие в специальной военной операции, муниципальных учреждений культуры муниципального образования города Шарыпово Красноярского края, клубных формирований, кинопоказов и иных мероприятий, проводимых (организуемых) указанными учреждениями</w:t>
      </w:r>
    </w:p>
    <w:p>
      <w:pPr>
        <w:pStyle w:val="ConsPlusNormal"/>
        <w:jc w:val="both"/>
        <w:rPr/>
      </w:pPr>
      <w:r>
        <w:rPr/>
      </w:r>
    </w:p>
    <w:p>
      <w:pPr>
        <w:pStyle w:val="ConsPlusNormal"/>
        <w:ind w:firstLine="540"/>
        <w:jc w:val="both"/>
        <w:rPr/>
      </w:pPr>
      <w:r>
        <w:rPr/>
        <w:t>1. Порядок бесплатного посещения семьями лиц, принимающих участие в специальной военной операции, муниципальных учреждений культуры муниципального образования города Шарыпово Красноярского края, клубных формирований, кинопоказов и иных мероприятий, проводимых (организуемых) указанными учреждениями (далее - Порядок), определяет механизм бесплатного посещения семьями лиц, принимающих участие в специальной военной операции (далее - участники специальной военной операции), муниципальных учреждений культуры муниципального образования города Шарыпово Красноярского края (далее - учреждения), клубных формирований, кинопоказов и иных мероприятий, проводимых (организуемых) указанными учреждениями.</w:t>
      </w:r>
    </w:p>
    <w:p>
      <w:pPr>
        <w:pStyle w:val="ConsPlusNormal"/>
        <w:ind w:firstLine="540"/>
        <w:jc w:val="both"/>
        <w:rPr/>
      </w:pPr>
      <w:bookmarkStart w:id="4" w:name="Par40"/>
      <w:bookmarkEnd w:id="4"/>
      <w:r>
        <w:rPr/>
        <w:t>2. К членам семьи участников специальной военной операции (далее - заявители) относятся:</w:t>
      </w:r>
    </w:p>
    <w:p>
      <w:pPr>
        <w:pStyle w:val="ConsPlusNormal"/>
        <w:ind w:firstLine="539"/>
        <w:jc w:val="both"/>
        <w:rPr/>
      </w:pPr>
      <w:r>
        <w:rPr/>
        <w:t>- супруга (супруг);</w:t>
      </w:r>
    </w:p>
    <w:p>
      <w:pPr>
        <w:pStyle w:val="ConsPlusNormal"/>
        <w:ind w:firstLine="539"/>
        <w:jc w:val="both"/>
        <w:rPr/>
      </w:pPr>
      <w:r>
        <w:rPr/>
        <w:t>- несовершеннолетние дети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pPr>
        <w:pStyle w:val="ConsPlusNormal"/>
        <w:ind w:firstLine="539"/>
        <w:jc w:val="both"/>
        <w:rPr/>
      </w:pPr>
      <w:r>
        <w:rPr/>
        <w:t>- дети в возрасте от 18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pPr>
        <w:pStyle w:val="ConsPlusNormal"/>
        <w:ind w:firstLine="539"/>
        <w:jc w:val="both"/>
        <w:rPr/>
      </w:pPr>
      <w:r>
        <w:rPr/>
        <w:t>- дети - инвалиды с детства независимо от возраста;</w:t>
      </w:r>
    </w:p>
    <w:p>
      <w:pPr>
        <w:pStyle w:val="ConsPlusNormal"/>
        <w:ind w:firstLine="539"/>
        <w:jc w:val="both"/>
        <w:rPr/>
      </w:pPr>
      <w:r>
        <w:rPr/>
        <w:t>- совместно проживающие с участниками специальной военной операции родители (усыновители) (далее - родители (усыновители).</w:t>
      </w:r>
    </w:p>
    <w:p>
      <w:pPr>
        <w:pStyle w:val="ConsPlusNormal"/>
        <w:ind w:firstLine="539"/>
        <w:jc w:val="both"/>
        <w:rPr/>
      </w:pPr>
      <w:r>
        <w:rPr/>
        <w:t>Лицо, сопровождающее несовершеннолетних детей или детей-инвалидов с детства независимо от возраста участника специальной военной операции в целях посещения учреждений, клубных формирований, кинопоказов и иных мероприятий, проводимых (организуемых) учреждениями (далее – сопровождающее лицо), имеет право на бесплатное посещение учреждений, клубных формирований, кинопоказов и иных мероприятий, проводимых (организуемых) учреждениями, при предоставлении документа, предусмотренного пунктом 8 настоящего Порядка.</w:t>
      </w:r>
    </w:p>
    <w:p>
      <w:pPr>
        <w:pStyle w:val="ConsPlusNormal"/>
        <w:ind w:firstLine="540"/>
        <w:jc w:val="both"/>
        <w:rPr/>
      </w:pPr>
      <w:r>
        <w:rPr/>
        <w:t>3. Количество посещений заявителями учреждений, клубных формирований, кинопоказов и иных мероприятий, проводимых (организуемых) учреждениями, не ограничено.</w:t>
      </w:r>
    </w:p>
    <w:p>
      <w:pPr>
        <w:pStyle w:val="ConsPlusNormal"/>
        <w:ind w:firstLine="540"/>
        <w:jc w:val="both"/>
        <w:rPr/>
      </w:pPr>
      <w:r>
        <w:rPr/>
        <w:t>4. Бесплатное посещение заявителями учреждений, клубных формирований, кинопоказов и иных мероприятий, проводимых (организуемых) учреждениями, осуществляется посредством:</w:t>
      </w:r>
    </w:p>
    <w:p>
      <w:pPr>
        <w:pStyle w:val="ConsPlusNormal"/>
        <w:ind w:firstLine="540"/>
        <w:jc w:val="both"/>
        <w:rPr/>
      </w:pPr>
      <w:r>
        <w:rPr/>
        <w:t>- бесплатного посещения учреждений (муниципальных библиотек и музея), включая экскурсионное обслуживание;</w:t>
      </w:r>
    </w:p>
    <w:p>
      <w:pPr>
        <w:pStyle w:val="ConsPlusNormal"/>
        <w:ind w:firstLine="540"/>
        <w:jc w:val="both"/>
        <w:rPr/>
      </w:pPr>
      <w:r>
        <w:rPr/>
        <w:t>- бесплатного посещения кинопоказов и иных мероприятий, проводимых (организуемых) учреждениями на территории муниципального образования города Шарыпово Красноярского края (далее – город Шарыпово);</w:t>
      </w:r>
    </w:p>
    <w:p>
      <w:pPr>
        <w:pStyle w:val="ConsPlusNormal"/>
        <w:ind w:firstLine="540"/>
        <w:jc w:val="both"/>
        <w:rPr/>
      </w:pPr>
      <w:r>
        <w:rPr/>
        <w:t>- бесплатного посещения клубных формирований, организуемых учреждениями.</w:t>
      </w:r>
    </w:p>
    <w:p>
      <w:pPr>
        <w:pStyle w:val="ConsPlusNormal"/>
        <w:ind w:firstLine="540"/>
        <w:jc w:val="both"/>
        <w:rPr/>
      </w:pPr>
      <w:r>
        <w:rPr/>
        <w:t xml:space="preserve">5. Бесплатное посещение учреждений (муниципальных библиотек и музея) реализуется путем обращения заявителей без предварительной записи в учреждение с предъявлением документов, определенных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Pr/>
          <w:t>пунктом 8</w:t>
        </w:r>
      </w:hyperlink>
      <w:r>
        <w:rPr/>
        <w:t xml:space="preserve"> Порядка.</w:t>
      </w:r>
    </w:p>
    <w:p>
      <w:pPr>
        <w:pStyle w:val="ConsPlusNormal"/>
        <w:ind w:firstLine="539"/>
        <w:jc w:val="both"/>
        <w:rPr/>
      </w:pPr>
      <w:r>
        <w:rPr/>
        <w:t xml:space="preserve">Учреждение осуществляет проверку представленных заявителем в соответствии с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Pr/>
          <w:t>пунктом 8</w:t>
        </w:r>
      </w:hyperlink>
      <w:r>
        <w:rPr/>
        <w:t xml:space="preserve"> Порядка документов и непосредственно после обращения заявителя принимает решение о бесплатном посещении учреждения или об отказе в бесплатном посещении учреждения.</w:t>
      </w:r>
    </w:p>
    <w:p>
      <w:pPr>
        <w:pStyle w:val="ConsPlusNormal"/>
        <w:ind w:firstLine="539"/>
        <w:jc w:val="both"/>
        <w:rPr/>
      </w:pPr>
      <w:r>
        <w:rPr/>
        <w:t>Основаниями для принятия решения об отказе в бесплатном посещении учреждения являются:</w:t>
      </w:r>
    </w:p>
    <w:p>
      <w:pPr>
        <w:pStyle w:val="ConsPlusNormal"/>
        <w:ind w:firstLine="539"/>
        <w:jc w:val="both"/>
        <w:rPr/>
      </w:pPr>
      <w:bookmarkStart w:id="5" w:name="Par53"/>
      <w:bookmarkEnd w:id="5"/>
      <w:r>
        <w:rPr/>
        <w:t xml:space="preserve">1) непредставление или представление не в полном объеме документов, определенных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Pr/>
          <w:t>пунктом 8</w:t>
        </w:r>
      </w:hyperlink>
      <w:r>
        <w:rPr/>
        <w:t xml:space="preserve"> Порядка;</w:t>
      </w:r>
    </w:p>
    <w:p>
      <w:pPr>
        <w:pStyle w:val="ConsPlusNormal"/>
        <w:ind w:firstLine="539"/>
        <w:jc w:val="both"/>
        <w:rPr/>
      </w:pPr>
      <w:r>
        <w:rPr/>
        <w:t xml:space="preserve">2) несоответствие лица, обратившегося в учреждение, категориям заявителей, определенным </w:t>
      </w:r>
      <w:hyperlink w:anchor="Par40" w:tgtFrame="2. К членам семьи участников специальной военной операции (далее - заявители) относятся:">
        <w:r>
          <w:rPr/>
          <w:t>пунктом 2</w:t>
        </w:r>
      </w:hyperlink>
      <w:r>
        <w:rPr/>
        <w:t xml:space="preserve"> Порядка.</w:t>
      </w:r>
    </w:p>
    <w:p>
      <w:pPr>
        <w:pStyle w:val="ConsPlusNormal"/>
        <w:ind w:firstLine="539"/>
        <w:jc w:val="both"/>
        <w:rPr/>
      </w:pPr>
      <w:r>
        <w:rPr/>
        <w:t xml:space="preserve">Учреждение доводит информацию о решении, принятом в соответствии с настоящим пунктом Порядка, до сведения заявителя лично непосредственно после обращения заявителя (в случае принятия решения об отказе в бесплатном посещении учреждения по основанию, определенному </w:t>
      </w:r>
      <w:hyperlink w:anchor="Par53" w:tgtFrame="1) непредставление или представление не в полном объеме документов, определенных пунктом 8 Порядка;">
        <w:r>
          <w:rPr/>
          <w:t>подпунктом 1</w:t>
        </w:r>
      </w:hyperlink>
      <w:r>
        <w:rPr/>
        <w:t xml:space="preserve"> настоящего пункта Порядка, с предложением устранить обстоятельства, послужившие основанием для принятия решения об отказе в бесплатном посещении учреждения).</w:t>
      </w:r>
    </w:p>
    <w:p>
      <w:pPr>
        <w:pStyle w:val="ConsPlusNormal"/>
        <w:ind w:firstLine="539"/>
        <w:jc w:val="both"/>
        <w:rPr/>
      </w:pPr>
      <w:r>
        <w:rPr/>
        <w:t>6. С целью реализации права заявителей на бесплатное посещение кинопоказов и иных мероприятий, проводимых (организуемых) учреждениями на территории города Шарыпово (далее - мероприятия), учреждения ежемесячно не позднее 3-го числа календарного месяца формируют и размещают на официальных сайтах учреждений в информационно-телекоммуникационной сети Интернет перечень бесплатных для заявителей мероприятий, в том числе концертов, спектаклей, иных театрально-зрелищных, культурно-досуговых, культурно-образовательных, культурно-массовых мероприятий с указанием даты, времени начала мероприятия, адреса электронной почты и (или) номера контактного телефона учреждения (далее - перечень мероприятий), в который включаются все мероприятия учреждений, за исключением организуемых (проводимых) в учреждениях сторонними организациями (третьими лицами).</w:t>
      </w:r>
    </w:p>
    <w:p>
      <w:pPr>
        <w:pStyle w:val="ConsPlusNormal"/>
        <w:ind w:firstLine="539"/>
        <w:jc w:val="both"/>
        <w:rPr/>
      </w:pPr>
      <w:r>
        <w:rPr/>
        <w:t>Заявители вправе направить в учреждение заявку на участие в мероприятии, включенном в перечень мероприятий (далее - заявка), по адресу электронной почты и (или) номеру контактного телефона учреждения, указанных в перечне мероприятий.</w:t>
      </w:r>
    </w:p>
    <w:p>
      <w:pPr>
        <w:pStyle w:val="ConsPlusNormal"/>
        <w:ind w:firstLine="539"/>
        <w:jc w:val="both"/>
        <w:rPr/>
      </w:pPr>
      <w:r>
        <w:rPr/>
        <w:t>Учреждение в течение одного рабочего дня со дня поступления заявки информирует заявителя о наличии (отсутствии) свободных мест на мероприятие, указанное в заявке, способом, которым поступила заявка (по адресу электронной почты и (или) номеру контактного телефона).</w:t>
      </w:r>
    </w:p>
    <w:p>
      <w:pPr>
        <w:pStyle w:val="ConsPlusNormal"/>
        <w:ind w:firstLine="539"/>
        <w:jc w:val="both"/>
        <w:rPr/>
      </w:pPr>
      <w:r>
        <w:rPr/>
        <w:t>При наличии свободных мест на мероприятие, указанное в заявке, заявителю бронируется место (места) на мероприятии.</w:t>
      </w:r>
    </w:p>
    <w:p>
      <w:pPr>
        <w:pStyle w:val="ConsPlusNormal"/>
        <w:ind w:firstLine="539"/>
        <w:jc w:val="both"/>
        <w:rPr/>
      </w:pPr>
      <w:r>
        <w:rPr/>
        <w:t>Документ о бесплатном посещении заявителями мероприятий, включенных в перечень мероприятий (билет (квитанция) согласно пункту 7 Порядка), должен быть получен заявителем не позднее чем за сутки до начала проведения мероприятия в порядке, определенном пунктом 7 Порядка.</w:t>
      </w:r>
    </w:p>
    <w:p>
      <w:pPr>
        <w:pStyle w:val="ConsPlusNormal"/>
        <w:ind w:firstLine="539"/>
        <w:jc w:val="both"/>
        <w:rPr/>
      </w:pPr>
      <w:r>
        <w:rPr/>
        <w:t>При отсутствии свободных мест на мероприятии, указанном в заявке, заявителю предлагается посетить иные мероприятия, приведенные в перечне мероприятий.</w:t>
      </w:r>
    </w:p>
    <w:p>
      <w:pPr>
        <w:pStyle w:val="ConsPlusNormal"/>
        <w:ind w:firstLine="539"/>
        <w:jc w:val="both"/>
        <w:rPr/>
      </w:pPr>
      <w:r>
        <w:rPr/>
        <w:t>Отсутствие заявки не является препятствием для посещения заявителем мероприятия, включенного в перечень мероприятий.</w:t>
      </w:r>
    </w:p>
    <w:p>
      <w:pPr>
        <w:pStyle w:val="ConsPlusNormal"/>
        <w:ind w:firstLine="539"/>
        <w:jc w:val="both"/>
        <w:rPr/>
      </w:pPr>
      <w:bookmarkStart w:id="6" w:name="Par63"/>
      <w:bookmarkEnd w:id="6"/>
      <w:r>
        <w:rPr/>
        <w:t xml:space="preserve">7. Бесплатное посещение заявителями мероприятий, включенных в перечень мероприятий, осуществляется путем личного обращения в учреждение с предъявлением документов, определенных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Pr/>
          <w:t>пунктом 8</w:t>
        </w:r>
      </w:hyperlink>
      <w:r>
        <w:rPr/>
        <w:t xml:space="preserve"> Порядка, на основании предоставляемых учреждениями заявителям билетов (в кассе учреждения - для учреждений, за исключением муниципальных библиотек) или квитанций (для муниципальных библиотек).</w:t>
      </w:r>
    </w:p>
    <w:p>
      <w:pPr>
        <w:pStyle w:val="ConsPlusNormal"/>
        <w:ind w:firstLine="539"/>
        <w:jc w:val="both"/>
        <w:rPr/>
      </w:pPr>
      <w:r>
        <w:rPr/>
        <w:t xml:space="preserve">Учреждение осуществляет проверку представленных заявителем в соответствии с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Pr/>
          <w:t>пунктом 8</w:t>
        </w:r>
      </w:hyperlink>
      <w:r>
        <w:rPr/>
        <w:t xml:space="preserve"> Порядка документов и непосредственно после обращения заявителя принимает решение о предоставлении заявителю билета (квитанции) или об отказе в предоставлении билета (квитанции).</w:t>
      </w:r>
    </w:p>
    <w:p>
      <w:pPr>
        <w:pStyle w:val="ConsPlusNormal"/>
        <w:ind w:firstLine="539"/>
        <w:jc w:val="both"/>
        <w:rPr/>
      </w:pPr>
      <w:r>
        <w:rPr/>
        <w:t>Основаниями для принятия решения об отказе в предоставлении билета (квитанции) являются:</w:t>
      </w:r>
    </w:p>
    <w:p>
      <w:pPr>
        <w:pStyle w:val="ConsPlusNormal"/>
        <w:ind w:firstLine="540"/>
        <w:jc w:val="both"/>
        <w:rPr/>
      </w:pPr>
      <w:bookmarkStart w:id="7" w:name="Par66"/>
      <w:bookmarkEnd w:id="7"/>
      <w:r>
        <w:rPr/>
        <w:t xml:space="preserve">1) непредставление или представление не в полном объеме документов, определенных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Pr/>
          <w:t>пунктом 8</w:t>
        </w:r>
      </w:hyperlink>
      <w:r>
        <w:rPr/>
        <w:t xml:space="preserve"> Порядка;</w:t>
      </w:r>
    </w:p>
    <w:p>
      <w:pPr>
        <w:pStyle w:val="ConsPlusNormal"/>
        <w:ind w:firstLine="540"/>
        <w:jc w:val="both"/>
        <w:rPr/>
      </w:pPr>
      <w:r>
        <w:rPr/>
        <w:t xml:space="preserve">2) несоответствие лица, обратившегося в учреждение, категориям заявителей, определенным </w:t>
      </w:r>
      <w:hyperlink w:anchor="Par40" w:tgtFrame="2. К членам семьи участников специальной военной операции (далее - заявители) относятся:">
        <w:r>
          <w:rPr/>
          <w:t>пунктом 2</w:t>
        </w:r>
      </w:hyperlink>
      <w:r>
        <w:rPr/>
        <w:t xml:space="preserve"> Порядка;</w:t>
      </w:r>
    </w:p>
    <w:p>
      <w:pPr>
        <w:pStyle w:val="ConsPlusNormal"/>
        <w:ind w:firstLine="539"/>
        <w:jc w:val="both"/>
        <w:rPr/>
      </w:pPr>
      <w:bookmarkStart w:id="8" w:name="Par68"/>
      <w:bookmarkEnd w:id="8"/>
      <w:r>
        <w:rPr/>
        <w:t>3) отсутствие свободных мест на мероприятии.</w:t>
      </w:r>
    </w:p>
    <w:p>
      <w:pPr>
        <w:pStyle w:val="ConsPlusNormal"/>
        <w:ind w:firstLine="539"/>
        <w:jc w:val="both"/>
        <w:rPr/>
      </w:pPr>
      <w:r>
        <w:rPr/>
        <w:t>Учреждение доводит информацию о решении, принятом в соответствии с настоящим пунктом Порядка, до сведения заявителя лично непосредственно после обращения заявителя:</w:t>
      </w:r>
    </w:p>
    <w:p>
      <w:pPr>
        <w:pStyle w:val="ConsPlusNormal"/>
        <w:ind w:firstLine="539"/>
        <w:jc w:val="both"/>
        <w:rPr/>
      </w:pPr>
      <w:r>
        <w:rPr/>
        <w:t xml:space="preserve">по основанию, определенному </w:t>
      </w:r>
      <w:hyperlink w:anchor="Par66" w:tgtFrame="1) непредставление или представление не в полном объеме документов, определенных пунктом 8 Порядка;">
        <w:r>
          <w:rPr/>
          <w:t>подпунктом 1</w:t>
        </w:r>
      </w:hyperlink>
      <w:r>
        <w:rPr/>
        <w:t xml:space="preserve"> настоящего пункта Порядка, с предложением устранить обстоятельства, послужившие основанием для принятия решения об отказе в предоставлении билета (квитанции);</w:t>
      </w:r>
    </w:p>
    <w:p>
      <w:pPr>
        <w:pStyle w:val="ConsPlusNormal"/>
        <w:ind w:firstLine="539"/>
        <w:jc w:val="both"/>
        <w:rPr/>
      </w:pPr>
      <w:r>
        <w:rPr/>
        <w:t xml:space="preserve">по основанию, определенному </w:t>
      </w:r>
      <w:hyperlink w:anchor="Par68" w:tgtFrame="3) отсутствие свободных мест на мероприятии.">
        <w:r>
          <w:rPr/>
          <w:t>подпунктом 3</w:t>
        </w:r>
      </w:hyperlink>
      <w:r>
        <w:rPr/>
        <w:t xml:space="preserve"> настоящего пункта Порядка, с предложением посетить иные мероприятия, определенные в перечне мероприятий.</w:t>
      </w:r>
    </w:p>
    <w:p>
      <w:pPr>
        <w:pStyle w:val="ConsPlusNormal"/>
        <w:ind w:firstLine="539"/>
        <w:jc w:val="both"/>
        <w:rPr/>
      </w:pPr>
      <w:bookmarkStart w:id="9" w:name="Par72"/>
      <w:bookmarkEnd w:id="9"/>
      <w:r>
        <w:rPr/>
        <w:t>8. Бесплатное посещение учреждений, мероприятий осуществляется при предъявлении заявителями следующих документов (копий документов):</w:t>
      </w:r>
    </w:p>
    <w:p>
      <w:pPr>
        <w:pStyle w:val="ConsPlusNormal"/>
        <w:ind w:firstLine="539"/>
        <w:jc w:val="both"/>
        <w:rPr/>
      </w:pPr>
      <w:r>
        <w:rPr/>
        <w:t>1) паспорт гражданина Российской Федерации или иной документ, удостоверяющий личность заявителя, – представляется в отношении заявителей в возрасте старше 14 лет, а также сопровождающего лица;</w:t>
      </w:r>
    </w:p>
    <w:p>
      <w:pPr>
        <w:pStyle w:val="ConsPlusNormal"/>
        <w:ind w:firstLine="539"/>
        <w:jc w:val="both"/>
        <w:rPr/>
      </w:pPr>
      <w:r>
        <w:rPr/>
        <w:t>2) свидетельство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ребенка (детей), а также пасынков (падчериц) участника специальной военной операции;</w:t>
      </w:r>
    </w:p>
    <w:p>
      <w:pPr>
        <w:pStyle w:val="ConsPlusNormal"/>
        <w:ind w:firstLine="539"/>
        <w:jc w:val="both"/>
        <w:rPr/>
      </w:pPr>
      <w:r>
        <w:rPr/>
        <w:t>3) документ, подтверждающий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представляется в отношении усыновленных (удочеренных) детей участника специальной военной операции;</w:t>
      </w:r>
    </w:p>
    <w:p>
      <w:pPr>
        <w:pStyle w:val="ConsPlusNormal"/>
        <w:ind w:firstLine="539"/>
        <w:jc w:val="both"/>
        <w:rPr/>
      </w:pPr>
      <w:r>
        <w:rPr/>
        <w:t>4)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на воспитание в приемную семью) – представляется в отношении детей, находящихся под опекой, или подопечных либо детей, переданных на воспитание в приемную семью;</w:t>
      </w:r>
    </w:p>
    <w:p>
      <w:pPr>
        <w:pStyle w:val="ConsPlusNormal"/>
        <w:ind w:firstLine="539"/>
        <w:jc w:val="both"/>
        <w:rPr/>
      </w:pPr>
      <w:r>
        <w:rPr/>
        <w:t>5) справка, подтверждающая факт установления ребенку инвалидности, выданная федеральными государственными учреждениями медико-социальной экспертизы инвалидности, – представляется в отношении ребенка-инвалида с детства участника специальной военной операции, достигшего совершеннолетия;</w:t>
      </w:r>
    </w:p>
    <w:p>
      <w:pPr>
        <w:pStyle w:val="ConsPlusNormal"/>
        <w:ind w:firstLine="539"/>
        <w:jc w:val="both"/>
        <w:rPr/>
      </w:pPr>
      <w:r>
        <w:rPr/>
        <w:t>6) документ (справка), выданный военным комиссариатом, подтверждающий участие гражданина в специальной военной операции;</w:t>
      </w:r>
    </w:p>
    <w:p>
      <w:pPr>
        <w:pStyle w:val="ConsPlusNormal"/>
        <w:ind w:firstLine="539"/>
        <w:jc w:val="both"/>
        <w:rPr/>
      </w:pPr>
      <w:r>
        <w:rPr/>
        <w:t>7) свидетельство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супруги (супруга) участника специальной военной операции, в паспорте гражданина Российской Федерации которой (которого) отсутствует отметка о регистрации брака.</w:t>
      </w:r>
    </w:p>
    <w:p>
      <w:pPr>
        <w:pStyle w:val="ConsPlusNormal"/>
        <w:ind w:firstLine="539"/>
        <w:jc w:val="both"/>
        <w:rPr/>
      </w:pPr>
      <w:r>
        <w:rPr/>
        <w:t>Копии документов, указанные в настоящем пункте Порядка, не заверенные органом (организацией), выдавшим соответствующие документы, или нотариально, представляются с предъявлением оригинала. Копии документов, представленные с предъявлением оригинала, заверяются работником учреждения, осуществляющим прием документов, после чего оригиналы документов возвращаются заявителю.</w:t>
      </w:r>
    </w:p>
    <w:p>
      <w:pPr>
        <w:pStyle w:val="ConsPlusNormal"/>
        <w:ind w:firstLine="539"/>
        <w:jc w:val="both"/>
        <w:rPr/>
      </w:pPr>
      <w:r>
        <w:rPr/>
        <w:t>Заявителем при обращении в учреждение заполняется согласие на обработку персональных данных заявителя и членов семьи участника специальной военной операции, чьи документы учитываются при принятии решения о предоставлении заявителю билета (квитанции), в соответствии с требованиями Федерального закона от 27.07.2006 г. № 152-ФЗ «О персональных данных».</w:t>
      </w:r>
    </w:p>
    <w:p>
      <w:pPr>
        <w:pStyle w:val="ConsPlusNormal"/>
        <w:ind w:firstLine="539"/>
        <w:jc w:val="both"/>
        <w:rPr/>
      </w:pPr>
      <w:r>
        <w:rPr/>
        <w:t>Данные заявителей и документов, представленных заявителями в соответствии с настоящим пунктом Порядка, вносятся учреждением в реестр заявителей, ведение которого осуществляется учреждением в порядке, определенном локальным актом учреждения.</w:t>
      </w:r>
    </w:p>
    <w:p>
      <w:pPr>
        <w:pStyle w:val="ConsPlusNormal"/>
        <w:ind w:firstLine="539"/>
        <w:jc w:val="both"/>
        <w:rPr/>
      </w:pPr>
      <w:r>
        <w:rPr/>
        <w:t>При повторном обращении в учреждение представление документов, определенных настоящим пунктом Порядка и ранее представленных заявителем, за исключением документа, определенного абзацем вторым настоящего пункта Порядка, не требуется.</w:t>
      </w:r>
    </w:p>
    <w:p>
      <w:pPr>
        <w:pStyle w:val="ConsPlusNormal"/>
        <w:ind w:firstLine="539"/>
        <w:jc w:val="both"/>
        <w:rPr/>
      </w:pPr>
      <w:r>
        <w:rPr/>
        <w:t>В случае изменения документов, определенных настоящим пунктом Порядка, или принадлежности лица к категориям заявителей, определенным пунктом 2 Порядка, заявители (законные представители заявителей) обязаны не позднее чем в четырнадцатидневный срок со дня, когда заявителю стало известно о наступлении соответствующих обстоятельств, уведомить о них учреждение с приложением документов, подтверждающих соответствующие изменения.</w:t>
      </w:r>
    </w:p>
    <w:p>
      <w:pPr>
        <w:pStyle w:val="ConsPlusNormal"/>
        <w:ind w:firstLine="539"/>
        <w:jc w:val="both"/>
        <w:rPr/>
      </w:pPr>
      <w:r>
        <w:rPr/>
        <w:t>9. С целью реализации права заявителей на бесплатное посещение клубных формирований, организуемых учреждениями (далее - клубные формирования), учреждения ежемесячно не позднее 3-го числа календарного месяца формируют и размещают на официальных сайтах учреждений в информационно-телекоммуникационной сети Интернет перечень клубных формирований учреждения (далее - перечень клубных формирований), в который включаются все клубные формирования, действующие в учреждении, с указанием числа свободных мест на 1-е число календарного месяца.</w:t>
      </w:r>
    </w:p>
    <w:p>
      <w:pPr>
        <w:pStyle w:val="ConsPlusNormal"/>
        <w:ind w:firstLine="540"/>
        <w:jc w:val="both"/>
        <w:rPr/>
      </w:pPr>
      <w:r>
        <w:rPr/>
        <w:t>10. Зачисление заявителей в клубные формирования осуществляется учреждениями в регламентированном порядке.</w:t>
      </w:r>
    </w:p>
    <w:p>
      <w:pPr>
        <w:pStyle w:val="ConsPlusNormal"/>
        <w:ind w:firstLine="540"/>
        <w:jc w:val="both"/>
        <w:rPr/>
      </w:pPr>
      <w:r>
        <w:rPr/>
        <w:t>11. Учреждения самостоятельно ведут учет билетов (квитанций), предоставляемых заявителям.</w:t>
      </w:r>
    </w:p>
    <w:p>
      <w:pPr>
        <w:pStyle w:val="ConsPlusNormal"/>
        <w:ind w:firstLine="540"/>
        <w:jc w:val="both"/>
        <w:rPr/>
      </w:pPr>
      <w:r>
        <w:rPr/>
        <w:t>12. Учреждения ежеквартально в срок до 10-го числа месяца, следующего за отчетным кварталом, представляют в Отдел культуры Администрации города Шарыпово отчетную документацию о количестве и стоимости предоставленных заявителям билетов (квитанций), а также количестве и стоимости занятий в клубных формированиях, посещенных заявителями, с приложением подтверждающих документов.</w:t>
      </w:r>
    </w:p>
    <w:p>
      <w:pPr>
        <w:pStyle w:val="ConsPlusNormal"/>
        <w:ind w:firstLine="540"/>
        <w:jc w:val="both"/>
        <w:rPr/>
      </w:pPr>
      <w:r>
        <w:rPr/>
        <w:t>13. Информация о порядке бесплатного посещения учреждений, клубных формирований, мероприятий размещается в доступных для заявителей помещениях учреждений, на официальных сайтах учреждений в информационно-телекоммуникационной сети Интернет.</w:t>
      </w:r>
    </w:p>
    <w:p>
      <w:pPr>
        <w:pStyle w:val="ConsPlusNormal"/>
        <w:ind w:firstLine="540"/>
        <w:jc w:val="both"/>
        <w:rPr/>
      </w:pPr>
      <w:r>
        <w:rPr/>
        <w:t>14. Финансовое обеспечение предоставления меры поддержки, предусмотренной Порядком, осуществляется за счет средств бюджета городского округа города Шарыпово.</w:t>
      </w:r>
    </w:p>
    <w:p>
      <w:pPr>
        <w:pStyle w:val="ConsPlusNormal"/>
        <w:ind w:firstLine="540"/>
        <w:jc w:val="both"/>
        <w:rPr/>
      </w:pPr>
      <w:r>
        <w:rPr/>
        <w:t>15. Предоставление меры поддержки, предусмотренной Порядком, осуществляется в период участия граждан в специальной военной операции.</w:t>
      </w:r>
    </w:p>
    <w:p>
      <w:pPr>
        <w:pStyle w:val="ConsPlusNormal"/>
        <w:jc w:val="both"/>
        <w:rPr/>
      </w:pPr>
      <w:r>
        <w:rPr/>
      </w:r>
    </w:p>
    <w:sectPr>
      <w:headerReference w:type="default" r:id="rId3"/>
      <w:type w:val="nextPage"/>
      <w:pgSz w:w="11906" w:h="16838"/>
      <w:pgMar w:left="1133" w:right="566" w:gutter="0" w:header="0" w:top="1134" w:footer="0" w:bottom="9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spacing w:before="0" w:after="200"/>
      <w:rPr/>
    </w:pPr>
    <w:r>
      <w:rPr>
        <w:szCs w:val="10"/>
      </w:rPr>
      <w:t xml:space="preserve"> </w:t>
    </w:r>
  </w:p>
</w:hd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4fdb"/>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locked/>
    <w:rsid w:val="00830e53"/>
    <w:rPr>
      <w:rFonts w:cs="Times New Roman"/>
    </w:rPr>
  </w:style>
  <w:style w:type="character" w:styleId="Style15" w:customStyle="1">
    <w:name w:val="Нижний колонтитул Знак"/>
    <w:basedOn w:val="DefaultParagraphFont"/>
    <w:uiPriority w:val="99"/>
    <w:semiHidden/>
    <w:qFormat/>
    <w:locked/>
    <w:rsid w:val="00830e53"/>
    <w:rPr>
      <w:rFonts w:cs="Times New Roman"/>
    </w:rPr>
  </w:style>
  <w:style w:type="character" w:styleId="-">
    <w:name w:val="Hyperlink"/>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ConsPlusNormal" w:customStyle="1">
    <w:name w:val="ConsPlusNormal"/>
    <w:qFormat/>
    <w:rsid w:val="00524fdb"/>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PlusNonformat" w:customStyle="1">
    <w:name w:val="ConsPlusNonformat"/>
    <w:uiPriority w:val="99"/>
    <w:qFormat/>
    <w:rsid w:val="00524fdb"/>
    <w:pPr>
      <w:widowControl w:val="false"/>
      <w:suppressAutoHyphens w:val="true"/>
      <w:bidi w:val="0"/>
      <w:spacing w:before="0" w:after="0"/>
      <w:jc w:val="left"/>
    </w:pPr>
    <w:rPr>
      <w:rFonts w:ascii="Courier New" w:hAnsi="Courier New" w:eastAsia="Times New Roman" w:cs="Courier New"/>
      <w:color w:val="auto"/>
      <w:kern w:val="0"/>
      <w:sz w:val="22"/>
      <w:szCs w:val="20"/>
      <w:lang w:val="ru-RU" w:eastAsia="ru-RU" w:bidi="ar-SA"/>
    </w:rPr>
  </w:style>
  <w:style w:type="paragraph" w:styleId="ConsPlusTitle" w:customStyle="1">
    <w:name w:val="ConsPlusTitle"/>
    <w:uiPriority w:val="99"/>
    <w:qFormat/>
    <w:rsid w:val="00524fdb"/>
    <w:pPr>
      <w:widowControl w:val="false"/>
      <w:suppressAutoHyphens w:val="true"/>
      <w:bidi w:val="0"/>
      <w:spacing w:before="0" w:after="0"/>
      <w:jc w:val="left"/>
    </w:pPr>
    <w:rPr>
      <w:rFonts w:ascii="Arial" w:hAnsi="Arial" w:eastAsia="Times New Roman" w:cs="Arial"/>
      <w:b/>
      <w:bCs/>
      <w:color w:val="auto"/>
      <w:kern w:val="0"/>
      <w:sz w:val="24"/>
      <w:szCs w:val="24"/>
      <w:lang w:val="ru-RU" w:eastAsia="ru-RU" w:bidi="ar-SA"/>
    </w:rPr>
  </w:style>
  <w:style w:type="paragraph" w:styleId="ConsPlusCell" w:customStyle="1">
    <w:name w:val="ConsPlusCell"/>
    <w:uiPriority w:val="99"/>
    <w:qFormat/>
    <w:rsid w:val="00524fdb"/>
    <w:pPr>
      <w:widowControl w:val="false"/>
      <w:suppressAutoHyphens w:val="true"/>
      <w:bidi w:val="0"/>
      <w:spacing w:before="0" w:after="0"/>
      <w:jc w:val="left"/>
    </w:pPr>
    <w:rPr>
      <w:rFonts w:ascii="Courier New" w:hAnsi="Courier New" w:eastAsia="Times New Roman" w:cs="Courier New"/>
      <w:color w:val="auto"/>
      <w:kern w:val="0"/>
      <w:sz w:val="22"/>
      <w:szCs w:val="20"/>
      <w:lang w:val="ru-RU" w:eastAsia="ru-RU" w:bidi="ar-SA"/>
    </w:rPr>
  </w:style>
  <w:style w:type="paragraph" w:styleId="ConsPlusDocList" w:customStyle="1">
    <w:name w:val="ConsPlusDocList"/>
    <w:uiPriority w:val="99"/>
    <w:qFormat/>
    <w:rsid w:val="00524fdb"/>
    <w:pPr>
      <w:widowControl w:val="false"/>
      <w:suppressAutoHyphens w:val="true"/>
      <w:bidi w:val="0"/>
      <w:spacing w:before="0" w:after="0"/>
      <w:jc w:val="left"/>
    </w:pPr>
    <w:rPr>
      <w:rFonts w:ascii="Tahoma" w:hAnsi="Tahoma" w:eastAsia="Times New Roman" w:cs="Tahoma"/>
      <w:color w:val="auto"/>
      <w:kern w:val="0"/>
      <w:sz w:val="18"/>
      <w:szCs w:val="18"/>
      <w:lang w:val="ru-RU" w:eastAsia="ru-RU" w:bidi="ar-SA"/>
    </w:rPr>
  </w:style>
  <w:style w:type="paragraph" w:styleId="ConsPlusTitlePage" w:customStyle="1">
    <w:name w:val="ConsPlusTitlePage"/>
    <w:uiPriority w:val="99"/>
    <w:qFormat/>
    <w:rsid w:val="00524fdb"/>
    <w:pPr>
      <w:widowControl w:val="false"/>
      <w:suppressAutoHyphens w:val="true"/>
      <w:bidi w:val="0"/>
      <w:spacing w:before="0" w:after="0"/>
      <w:jc w:val="left"/>
    </w:pPr>
    <w:rPr>
      <w:rFonts w:ascii="Tahoma" w:hAnsi="Tahoma" w:eastAsia="Times New Roman" w:cs="Tahoma"/>
      <w:color w:val="auto"/>
      <w:kern w:val="0"/>
      <w:sz w:val="24"/>
      <w:szCs w:val="24"/>
      <w:lang w:val="ru-RU" w:eastAsia="ru-RU" w:bidi="ar-SA"/>
    </w:rPr>
  </w:style>
  <w:style w:type="paragraph" w:styleId="ConsPlusJurTerm" w:customStyle="1">
    <w:name w:val="ConsPlusJurTerm"/>
    <w:uiPriority w:val="99"/>
    <w:qFormat/>
    <w:rsid w:val="00524fdb"/>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PlusTextList" w:customStyle="1">
    <w:name w:val="ConsPlusTextList"/>
    <w:uiPriority w:val="99"/>
    <w:qFormat/>
    <w:rsid w:val="00524fdb"/>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PlusTextList1" w:customStyle="1">
    <w:name w:val="ConsPlusTextList1"/>
    <w:uiPriority w:val="99"/>
    <w:qFormat/>
    <w:rsid w:val="00524fdb"/>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1">
    <w:name w:val="Верхний и нижний колонтитулы"/>
    <w:basedOn w:val="Normal"/>
    <w:qFormat/>
    <w:pPr/>
    <w:rPr/>
  </w:style>
  <w:style w:type="paragraph" w:styleId="Style22">
    <w:name w:val="Колонтитул"/>
    <w:basedOn w:val="Normal"/>
    <w:qFormat/>
    <w:pPr/>
    <w:rPr/>
  </w:style>
  <w:style w:type="paragraph" w:styleId="Style23">
    <w:name w:val="Header"/>
    <w:basedOn w:val="Normal"/>
    <w:uiPriority w:val="99"/>
    <w:semiHidden/>
    <w:unhideWhenUsed/>
    <w:rsid w:val="00830e53"/>
    <w:pPr>
      <w:tabs>
        <w:tab w:val="clear" w:pos="720"/>
        <w:tab w:val="center" w:pos="4677" w:leader="none"/>
        <w:tab w:val="right" w:pos="9355" w:leader="none"/>
      </w:tabs>
    </w:pPr>
    <w:rPr/>
  </w:style>
  <w:style w:type="paragraph" w:styleId="Style24">
    <w:name w:val="Footer"/>
    <w:basedOn w:val="Normal"/>
    <w:uiPriority w:val="99"/>
    <w:semiHidden/>
    <w:unhideWhenUsed/>
    <w:rsid w:val="00830e53"/>
    <w:pPr>
      <w:tabs>
        <w:tab w:val="clear" w:pos="720"/>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123&amp;n=297296&amp;date=22.11.2022"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Application>LibreOffice/7.5.5.2$Windows_X86_64 LibreOffice_project/ca8fe7424262805f223b9a2334bc7181abbcbf5e</Application>
  <AppVersion>15.0000</AppVersion>
  <DocSecurity>2</DocSecurity>
  <Pages>4</Pages>
  <Words>1697</Words>
  <Characters>13073</Characters>
  <CharactersWithSpaces>14746</CharactersWithSpaces>
  <Paragraphs>72</Paragraphs>
  <Company>КонсультантПлюс Версия 4022.00.09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2022-11-24T04:08:00Z</dcterms:created>
  <dc:creator>User</dc:creator>
  <dc:description/>
  <dc:language>ru-RU</dc:language>
  <cp:lastModifiedBy/>
  <cp:lastPrinted>2022-12-07T01:38:00Z</cp:lastPrinted>
  <dcterms:modified xsi:type="dcterms:W3CDTF">2022-12-20T14:41:38Z</dcterms:modified>
  <cp:revision>9</cp:revision>
  <dc:subject/>
  <dc:title>Постановление Правительства Красноярского края от 08.11.2022 N 954-п"Об утверждении Порядка бесплатного посещения семьями лиц, принимающих участие в специальной военной операции, краевых государственных учреждений культуры Красноярского края, клубных форм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