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rPr>
          <w:rFonts w:eastAsia="Times New Roman"/>
          <w:kern w:val="0"/>
          <w:sz w:val="28"/>
          <w:szCs w:val="28"/>
        </w:rPr>
      </w:pPr>
      <w:r>
        <w:rPr>
          <w:rFonts w:eastAsia="Times New Roman"/>
          <w:kern w:val="0"/>
          <w:sz w:val="28"/>
          <w:szCs w:val="28"/>
        </w:rPr>
      </w:r>
    </w:p>
    <w:p>
      <w:pPr>
        <w:pStyle w:val="Normal"/>
        <w:widowControl/>
        <w:suppressAutoHyphens w:val="false"/>
        <w:jc w:val="center"/>
        <w:rPr>
          <w:rFonts w:eastAsia="Times New Roman"/>
          <w:b/>
          <w:b/>
          <w:kern w:val="0"/>
          <w:sz w:val="28"/>
          <w:szCs w:val="28"/>
        </w:rPr>
      </w:pPr>
      <w:r>
        <w:rPr>
          <w:rFonts w:eastAsia="Times New Roman"/>
          <w:b/>
          <w:kern w:val="0"/>
          <w:sz w:val="28"/>
          <w:szCs w:val="28"/>
        </w:rPr>
        <w:t>П</w:t>
      </w:r>
      <w:r>
        <w:rPr>
          <w:rFonts w:eastAsia="Times New Roman" w:cs="Times New Roman"/>
          <w:b/>
          <w:kern w:val="0"/>
          <w:sz w:val="28"/>
          <w:szCs w:val="28"/>
          <w:lang w:eastAsia="ar-SA"/>
        </w:rPr>
        <w:t>остановление Администрации города Шарыпово</w:t>
      </w:r>
    </w:p>
    <w:p>
      <w:pPr>
        <w:pStyle w:val="Normal"/>
        <w:widowControl/>
        <w:suppressAutoHyphens w:val="false"/>
        <w:jc w:val="center"/>
        <w:rPr>
          <w:rFonts w:eastAsia="Times New Roman"/>
          <w:b/>
          <w:b/>
          <w:kern w:val="0"/>
          <w:sz w:val="28"/>
          <w:szCs w:val="28"/>
        </w:rPr>
      </w:pPr>
      <w:r>
        <w:rPr>
          <w:rFonts w:eastAsia="Times New Roman"/>
          <w:b/>
          <w:kern w:val="0"/>
          <w:sz w:val="28"/>
          <w:szCs w:val="28"/>
        </w:rPr>
      </w:r>
    </w:p>
    <w:p>
      <w:pPr>
        <w:pStyle w:val="Normal"/>
        <w:widowControl/>
        <w:suppressAutoHyphens w:val="false"/>
        <w:rPr>
          <w:rFonts w:eastAsia="Times New Roman"/>
          <w:kern w:val="0"/>
          <w:sz w:val="28"/>
          <w:szCs w:val="28"/>
        </w:rPr>
      </w:pPr>
      <w:r>
        <w:rPr>
          <w:rFonts w:eastAsia="Times New Roman"/>
          <w:kern w:val="0"/>
          <w:sz w:val="28"/>
          <w:szCs w:val="28"/>
        </w:rPr>
      </w:r>
    </w:p>
    <w:p>
      <w:pPr>
        <w:pStyle w:val="Normal"/>
        <w:widowControl/>
        <w:tabs>
          <w:tab w:val="clear" w:pos="709"/>
          <w:tab w:val="left" w:pos="7757" w:leader="none"/>
        </w:tabs>
        <w:suppressAutoHyphens w:val="false"/>
        <w:rPr>
          <w:rFonts w:eastAsia="Times New Roman"/>
          <w:kern w:val="0"/>
          <w:sz w:val="28"/>
          <w:szCs w:val="28"/>
        </w:rPr>
      </w:pPr>
      <w:r>
        <w:rPr>
          <w:rFonts w:eastAsia="Times New Roman"/>
          <w:kern w:val="0"/>
          <w:sz w:val="28"/>
          <w:szCs w:val="28"/>
        </w:rPr>
        <w:t>03.11.2022</w:t>
        <w:tab/>
        <w:t xml:space="preserve">           № 355</w:t>
      </w:r>
    </w:p>
    <w:p>
      <w:pPr>
        <w:pStyle w:val="Normal"/>
        <w:widowControl/>
        <w:suppressAutoHyphens w:val="false"/>
        <w:rPr>
          <w:rFonts w:eastAsia="Times New Roman"/>
          <w:kern w:val="0"/>
          <w:sz w:val="28"/>
          <w:szCs w:val="28"/>
        </w:rPr>
      </w:pPr>
      <w:r>
        <w:rPr>
          <w:rFonts w:eastAsia="Times New Roman"/>
          <w:kern w:val="0"/>
          <w:sz w:val="28"/>
          <w:szCs w:val="28"/>
        </w:rPr>
      </w:r>
    </w:p>
    <w:p>
      <w:pPr>
        <w:pStyle w:val="Normal"/>
        <w:widowControl/>
        <w:suppressAutoHyphens w:val="false"/>
        <w:rPr>
          <w:rFonts w:eastAsia="Times New Roman"/>
          <w:kern w:val="0"/>
          <w:sz w:val="28"/>
          <w:szCs w:val="28"/>
        </w:rPr>
      </w:pPr>
      <w:r>
        <w:rPr>
          <w:rFonts w:eastAsia="Times New Roman"/>
          <w:kern w:val="0"/>
          <w:sz w:val="28"/>
          <w:szCs w:val="28"/>
        </w:rPr>
        <w:tab/>
        <w:tab/>
        <w:tab/>
        <w:tab/>
      </w:r>
    </w:p>
    <w:p>
      <w:pPr>
        <w:pStyle w:val="Normal"/>
        <w:widowControl/>
        <w:suppressAutoHyphens w:val="false"/>
        <w:rPr>
          <w:rFonts w:eastAsia="Times New Roman"/>
          <w:kern w:val="0"/>
          <w:sz w:val="28"/>
          <w:szCs w:val="28"/>
        </w:rPr>
      </w:pPr>
      <w:r>
        <w:rPr>
          <w:rFonts w:eastAsia="Times New Roman"/>
          <w:kern w:val="0"/>
          <w:sz w:val="28"/>
          <w:szCs w:val="28"/>
        </w:rPr>
        <w:tab/>
      </w:r>
    </w:p>
    <w:p>
      <w:pPr>
        <w:pStyle w:val="Normal"/>
        <w:jc w:val="both"/>
        <w:rPr>
          <w:sz w:val="28"/>
          <w:szCs w:val="28"/>
        </w:rPr>
      </w:pPr>
      <w:r>
        <w:rPr>
          <w:rFonts w:eastAsia="Times New Roman"/>
          <w:kern w:val="0"/>
          <w:sz w:val="28"/>
          <w:szCs w:val="28"/>
        </w:rPr>
        <w:tab/>
      </w:r>
      <w:r>
        <w:rPr>
          <w:sz w:val="28"/>
          <w:szCs w:val="28"/>
        </w:rPr>
        <w:t>Об утверждении норм расходов средств на проведение физкультурных мероприятий и спортивных мероприятий, включенных в Единый календарный план региональных, межрегиональных, всероссийских и международных физкультурных мероприятий и спортивных мероприятий</w:t>
      </w:r>
    </w:p>
    <w:p>
      <w:pPr>
        <w:pStyle w:val="Normal"/>
        <w:ind w:firstLine="540"/>
        <w:jc w:val="both"/>
        <w:rPr>
          <w:sz w:val="27"/>
          <w:szCs w:val="27"/>
        </w:rPr>
      </w:pPr>
      <w:r>
        <w:rPr>
          <w:sz w:val="27"/>
          <w:szCs w:val="27"/>
        </w:rPr>
      </w:r>
    </w:p>
    <w:p>
      <w:pPr>
        <w:pStyle w:val="Normal"/>
        <w:ind w:firstLine="709"/>
        <w:jc w:val="both"/>
        <w:rPr>
          <w:sz w:val="28"/>
          <w:szCs w:val="28"/>
        </w:rPr>
      </w:pPr>
      <w:r>
        <w:rPr>
          <w:sz w:val="28"/>
          <w:szCs w:val="28"/>
        </w:rPr>
        <w:t>В соответствии с частью 4 статьи 23 Федерального закона от 04.12.2007 № 329-ФЗ "О физической культуре и спорте в Российской Федерации" (в редакции от 06.03.2022 № 43-ФЗ), приказом от 04.10.2021 № 754 Министерства спорта Российской Федерации «Об утверждении норм расходов средств на проведение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(в редакции от 28.02.2022 № 147) и подпунктом 4.2.24 пункта 4 Положения о Министерстве спорта Российской Федерации, утвержденного постановлением Правительства Российской Федерации от 19.06.2012 № 607 (в редакции от 18.02.2022 № 210), руководствуясь статьей 34 Устава города Шарыпово,</w:t>
      </w:r>
    </w:p>
    <w:p>
      <w:pPr>
        <w:pStyle w:val="Normal"/>
        <w:jc w:val="both"/>
        <w:rPr>
          <w:sz w:val="28"/>
          <w:szCs w:val="28"/>
        </w:rPr>
      </w:pPr>
      <w:r>
        <w:rPr>
          <w:sz w:val="28"/>
          <w:szCs w:val="28"/>
        </w:rPr>
        <w:t>ПОСТАНОВЛЯЮ:</w:t>
      </w:r>
    </w:p>
    <w:p>
      <w:pPr>
        <w:pStyle w:val="ListParagraph"/>
        <w:numPr>
          <w:ilvl w:val="0"/>
          <w:numId w:val="1"/>
        </w:numPr>
        <w:ind w:left="0" w:firstLine="709"/>
        <w:jc w:val="both"/>
        <w:rPr>
          <w:sz w:val="28"/>
          <w:szCs w:val="28"/>
        </w:rPr>
      </w:pPr>
      <w:r>
        <w:rPr>
          <w:sz w:val="28"/>
          <w:szCs w:val="28"/>
        </w:rPr>
        <w:t>Утвердить нормы оплаты питания участников физкультурных мероприятий и спортивных мероприятий (приложение № 1).</w:t>
      </w:r>
    </w:p>
    <w:p>
      <w:pPr>
        <w:pStyle w:val="ListParagraph"/>
        <w:numPr>
          <w:ilvl w:val="0"/>
          <w:numId w:val="1"/>
        </w:numPr>
        <w:ind w:left="0" w:firstLine="709"/>
        <w:jc w:val="both"/>
        <w:rPr>
          <w:sz w:val="28"/>
          <w:szCs w:val="28"/>
        </w:rPr>
      </w:pPr>
      <w:r>
        <w:rPr>
          <w:sz w:val="28"/>
          <w:szCs w:val="28"/>
        </w:rPr>
        <w:t>Утвердить нормы оплаты проживания участников физкультурных мероприятий и спортивных мероприятий (приложение № 2).</w:t>
      </w:r>
    </w:p>
    <w:p>
      <w:pPr>
        <w:pStyle w:val="ListParagraph"/>
        <w:numPr>
          <w:ilvl w:val="0"/>
          <w:numId w:val="1"/>
        </w:numPr>
        <w:ind w:left="0" w:firstLine="709"/>
        <w:jc w:val="both"/>
        <w:rPr>
          <w:sz w:val="28"/>
          <w:szCs w:val="28"/>
        </w:rPr>
      </w:pPr>
      <w:r>
        <w:rPr>
          <w:sz w:val="28"/>
          <w:szCs w:val="28"/>
        </w:rPr>
        <w:t>Утвердить нормы оплаты услуг спортивных судей на физкультурных мероприятиях и спортивных мероприятиях (приложение № 3).</w:t>
      </w:r>
    </w:p>
    <w:p>
      <w:pPr>
        <w:pStyle w:val="ListParagraph"/>
        <w:numPr>
          <w:ilvl w:val="0"/>
          <w:numId w:val="1"/>
        </w:numPr>
        <w:ind w:left="0" w:firstLine="709"/>
        <w:jc w:val="both"/>
        <w:rPr>
          <w:sz w:val="28"/>
          <w:szCs w:val="28"/>
        </w:rPr>
      </w:pPr>
      <w:r>
        <w:rPr>
          <w:sz w:val="28"/>
          <w:szCs w:val="28"/>
        </w:rPr>
        <w:t>Утвердить нормы оплаты услуг по обеспечению наградной атрибутикой победителей и призеров физкультурных мероприятий и спортивных мероприятий (приложение № 4).</w:t>
      </w:r>
    </w:p>
    <w:p>
      <w:pPr>
        <w:pStyle w:val="ListParagraph"/>
        <w:numPr>
          <w:ilvl w:val="0"/>
          <w:numId w:val="1"/>
        </w:numPr>
        <w:spacing w:before="0" w:after="0"/>
        <w:ind w:left="0" w:firstLine="709"/>
        <w:jc w:val="both"/>
        <w:rPr>
          <w:sz w:val="28"/>
          <w:szCs w:val="28"/>
        </w:rPr>
      </w:pPr>
      <w:r>
        <w:rPr>
          <w:sz w:val="28"/>
          <w:szCs w:val="28"/>
        </w:rPr>
        <w:t>Утвердить нормы оплаты услуг по обеспечению сувенирной продукцией участников физкультурных мероприятий и спортивных мероприятий (приложение № 5).</w:t>
      </w:r>
    </w:p>
    <w:p>
      <w:pPr>
        <w:pStyle w:val="ListParagraph"/>
        <w:numPr>
          <w:ilvl w:val="0"/>
          <w:numId w:val="1"/>
        </w:numPr>
        <w:spacing w:before="0" w:after="0"/>
        <w:ind w:left="0" w:firstLine="709"/>
        <w:jc w:val="both"/>
        <w:rPr>
          <w:sz w:val="28"/>
          <w:szCs w:val="28"/>
        </w:rPr>
      </w:pPr>
      <w:r>
        <w:rPr>
          <w:sz w:val="28"/>
          <w:szCs w:val="28"/>
        </w:rPr>
        <w:t>Утвердить нормы оплаты услуг по обеспечению транспортными средствами участников физкультурных мероприятий и спортивных мероприятий (приложение № 6).</w:t>
      </w:r>
    </w:p>
    <w:p>
      <w:pPr>
        <w:pStyle w:val="ListParagraph"/>
        <w:numPr>
          <w:ilvl w:val="0"/>
          <w:numId w:val="1"/>
        </w:numPr>
        <w:spacing w:before="0" w:after="0"/>
        <w:ind w:left="0" w:firstLine="709"/>
        <w:jc w:val="both"/>
        <w:rPr>
          <w:sz w:val="28"/>
          <w:szCs w:val="28"/>
        </w:rPr>
      </w:pPr>
      <w:r>
        <w:rPr>
          <w:sz w:val="28"/>
          <w:szCs w:val="28"/>
        </w:rPr>
        <w:t>Утвердить нормы оплаты услуг по предоставлению объектов спорта, включенных  во Всероссийский реестр объектов спорта (приложение № 7).</w:t>
      </w:r>
    </w:p>
    <w:p>
      <w:pPr>
        <w:pStyle w:val="ListParagraph"/>
        <w:numPr>
          <w:ilvl w:val="0"/>
          <w:numId w:val="1"/>
        </w:numPr>
        <w:spacing w:before="0" w:after="0"/>
        <w:ind w:left="0" w:firstLine="709"/>
        <w:jc w:val="both"/>
        <w:rPr>
          <w:sz w:val="28"/>
          <w:szCs w:val="28"/>
        </w:rPr>
      </w:pPr>
      <w:r>
        <w:rPr>
          <w:sz w:val="28"/>
          <w:szCs w:val="28"/>
        </w:rPr>
        <w:t>Утвердить нормы оплаты услуг по подготовке мест проведения физкультурных мероприятий и спортивных мероприятий (приложение № 8).</w:t>
      </w:r>
    </w:p>
    <w:p>
      <w:pPr>
        <w:pStyle w:val="ListParagraph"/>
        <w:numPr>
          <w:ilvl w:val="0"/>
          <w:numId w:val="1"/>
        </w:numPr>
        <w:spacing w:before="0" w:after="0"/>
        <w:ind w:left="0" w:firstLine="709"/>
        <w:jc w:val="both"/>
        <w:rPr>
          <w:sz w:val="28"/>
          <w:szCs w:val="28"/>
        </w:rPr>
      </w:pPr>
      <w:r>
        <w:rPr>
          <w:sz w:val="28"/>
          <w:szCs w:val="28"/>
        </w:rPr>
        <w:t>Утвердить нормы оплаты услуг по информационно-техническому обеспечению физкультурных мероприятий и спортивных мероприятий (Приложение № 9).</w:t>
      </w:r>
    </w:p>
    <w:p>
      <w:pPr>
        <w:pStyle w:val="ListParagraph"/>
        <w:numPr>
          <w:ilvl w:val="0"/>
          <w:numId w:val="1"/>
        </w:numPr>
        <w:ind w:left="0" w:firstLine="709"/>
        <w:jc w:val="both"/>
        <w:rPr>
          <w:sz w:val="28"/>
          <w:szCs w:val="28"/>
        </w:rPr>
      </w:pPr>
      <w:r>
        <w:rPr>
          <w:sz w:val="28"/>
          <w:szCs w:val="28"/>
        </w:rPr>
        <w:t>Утвердить нормы оплаты аккредитации участников спортивных мероприятий (Приложение № 10).</w:t>
      </w:r>
    </w:p>
    <w:p>
      <w:pPr>
        <w:pStyle w:val="ListParagraph"/>
        <w:numPr>
          <w:ilvl w:val="0"/>
          <w:numId w:val="1"/>
        </w:numPr>
        <w:ind w:left="0" w:firstLine="709"/>
        <w:jc w:val="both"/>
        <w:rPr>
          <w:sz w:val="28"/>
          <w:szCs w:val="28"/>
        </w:rPr>
      </w:pPr>
      <w:r>
        <w:rPr>
          <w:sz w:val="28"/>
          <w:szCs w:val="28"/>
        </w:rPr>
        <w:t>Утвердить нормы оплаты услуг по обеспечению безопасности в местах проведения физкультурных мероприятий и спортивных мероприятий (Приложение № 11).</w:t>
      </w:r>
    </w:p>
    <w:p>
      <w:pPr>
        <w:pStyle w:val="ListParagraph"/>
        <w:numPr>
          <w:ilvl w:val="0"/>
          <w:numId w:val="1"/>
        </w:numPr>
        <w:ind w:left="0" w:firstLine="709"/>
        <w:jc w:val="both"/>
        <w:rPr>
          <w:sz w:val="28"/>
          <w:szCs w:val="28"/>
        </w:rPr>
      </w:pPr>
      <w:r>
        <w:rPr>
          <w:sz w:val="28"/>
          <w:szCs w:val="28"/>
        </w:rPr>
        <w:t>Утвердить нормы оплаты услуг по организации и проведению торжественных церемоний (Приложение № 12).</w:t>
      </w:r>
    </w:p>
    <w:p>
      <w:pPr>
        <w:pStyle w:val="ListParagraph"/>
        <w:numPr>
          <w:ilvl w:val="0"/>
          <w:numId w:val="1"/>
        </w:numPr>
        <w:ind w:left="0" w:firstLine="709"/>
        <w:jc w:val="both"/>
        <w:rPr>
          <w:sz w:val="28"/>
          <w:szCs w:val="28"/>
        </w:rPr>
      </w:pPr>
      <w:r>
        <w:rPr>
          <w:sz w:val="28"/>
          <w:szCs w:val="28"/>
        </w:rPr>
        <w:t>Признать утратившими силу постановление Администрации города Шарыпово от 29.12.2008 года № 1447 «Об утверждении нормативов физкультурно-оздоровительных и спортивно-массовых мероприятий, в том числе спортивных соревнований и учебно-тренировочных сборов, включенных в календарный план</w:t>
      </w:r>
      <w:r>
        <w:rPr/>
        <w:t xml:space="preserve"> </w:t>
      </w:r>
      <w:r>
        <w:rPr>
          <w:sz w:val="28"/>
          <w:szCs w:val="28"/>
        </w:rPr>
        <w:t>физкультурно-оздоровительных и спортивно-массовых мероприятий».</w:t>
      </w:r>
    </w:p>
    <w:p>
      <w:pPr>
        <w:pStyle w:val="ListParagraph"/>
        <w:numPr>
          <w:ilvl w:val="0"/>
          <w:numId w:val="1"/>
        </w:numPr>
        <w:ind w:left="0" w:firstLine="709"/>
        <w:jc w:val="both"/>
        <w:rPr>
          <w:sz w:val="28"/>
          <w:szCs w:val="28"/>
        </w:rPr>
      </w:pPr>
      <w:r>
        <w:rPr>
          <w:rFonts w:eastAsia="Times New Roman"/>
          <w:kern w:val="0"/>
          <w:sz w:val="28"/>
          <w:szCs w:val="28"/>
        </w:rPr>
        <w:t>Контроль за исполнением настоящего постановления возложить на заместителя Главы города Шарыпово по социальным вопросам Ю.В. Рудь.</w:t>
      </w:r>
      <w:bookmarkStart w:id="0" w:name="_Hlk115178340"/>
    </w:p>
    <w:p>
      <w:pPr>
        <w:pStyle w:val="ListParagraph"/>
        <w:numPr>
          <w:ilvl w:val="0"/>
          <w:numId w:val="1"/>
        </w:numPr>
        <w:ind w:left="0" w:firstLine="709"/>
        <w:jc w:val="both"/>
        <w:rPr>
          <w:sz w:val="28"/>
          <w:szCs w:val="28"/>
        </w:rPr>
      </w:pPr>
      <w:r>
        <w:rPr>
          <w:rFonts w:eastAsia="Times New Roman"/>
          <w:kern w:val="0"/>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bookmarkEnd w:id="0"/>
      <w:r>
        <w:rPr>
          <w:rFonts w:eastAsia="Times New Roman"/>
          <w:kern w:val="0"/>
          <w:sz w:val="28"/>
          <w:szCs w:val="28"/>
        </w:rPr>
        <w:t>.</w:t>
      </w:r>
    </w:p>
    <w:p>
      <w:pPr>
        <w:pStyle w:val="Normal"/>
        <w:widowControl/>
        <w:suppressAutoHyphens w:val="false"/>
        <w:spacing w:lineRule="auto" w:line="276"/>
        <w:ind w:firstLine="540"/>
        <w:jc w:val="both"/>
        <w:rPr>
          <w:rFonts w:eastAsia="Times New Roman"/>
          <w:kern w:val="0"/>
          <w:sz w:val="28"/>
          <w:szCs w:val="28"/>
        </w:rPr>
      </w:pPr>
      <w:r>
        <w:rPr>
          <w:rFonts w:eastAsia="Times New Roman"/>
          <w:kern w:val="0"/>
          <w:sz w:val="28"/>
          <w:szCs w:val="28"/>
        </w:rPr>
      </w:r>
    </w:p>
    <w:p>
      <w:pPr>
        <w:pStyle w:val="Normal"/>
        <w:widowControl/>
        <w:suppressAutoHyphens w:val="false"/>
        <w:spacing w:lineRule="auto" w:line="276"/>
        <w:ind w:firstLine="540"/>
        <w:jc w:val="both"/>
        <w:rPr>
          <w:rFonts w:eastAsia="Times New Roman"/>
          <w:kern w:val="0"/>
          <w:sz w:val="28"/>
          <w:szCs w:val="28"/>
        </w:rPr>
      </w:pPr>
      <w:r>
        <w:rPr>
          <w:rFonts w:eastAsia="Times New Roman"/>
          <w:kern w:val="0"/>
          <w:sz w:val="28"/>
          <w:szCs w:val="28"/>
        </w:rPr>
      </w:r>
    </w:p>
    <w:p>
      <w:pPr>
        <w:pStyle w:val="Normal"/>
        <w:widowControl/>
        <w:suppressAutoHyphens w:val="false"/>
        <w:spacing w:lineRule="auto" w:line="276"/>
        <w:jc w:val="both"/>
        <w:rPr>
          <w:rFonts w:eastAsia="Times New Roman"/>
          <w:kern w:val="0"/>
          <w:sz w:val="28"/>
          <w:szCs w:val="28"/>
        </w:rPr>
      </w:pPr>
      <w:r>
        <w:rPr>
          <w:rFonts w:eastAsia="Times New Roman"/>
          <w:kern w:val="0"/>
          <w:sz w:val="28"/>
          <w:szCs w:val="28"/>
        </w:rPr>
      </w:r>
    </w:p>
    <w:tbl>
      <w:tblPr>
        <w:tblStyle w:val="a6"/>
        <w:tblW w:w="9493" w:type="dxa"/>
        <w:jc w:val="left"/>
        <w:tblInd w:w="0" w:type="dxa"/>
        <w:tblCellMar>
          <w:top w:w="0" w:type="dxa"/>
          <w:left w:w="108" w:type="dxa"/>
          <w:bottom w:w="0" w:type="dxa"/>
          <w:right w:w="108" w:type="dxa"/>
        </w:tblCellMar>
        <w:tblLook w:val="04a0" w:noHBand="0" w:noVBand="1" w:firstColumn="1" w:lastRow="0" w:lastColumn="0" w:firstRow="1"/>
      </w:tblPr>
      <w:tblGrid>
        <w:gridCol w:w="3113"/>
        <w:gridCol w:w="3116"/>
        <w:gridCol w:w="3264"/>
      </w:tblGrid>
      <w:tr>
        <w:trPr/>
        <w:tc>
          <w:tcPr>
            <w:tcW w:w="3113" w:type="dxa"/>
            <w:tcBorders>
              <w:top w:val="nil"/>
              <w:left w:val="nil"/>
              <w:bottom w:val="nil"/>
              <w:right w:val="nil"/>
            </w:tcBorders>
          </w:tcPr>
          <w:p>
            <w:pPr>
              <w:pStyle w:val="Normal"/>
              <w:widowControl/>
              <w:suppressAutoHyphens w:val="false"/>
              <w:spacing w:lineRule="auto" w:line="276"/>
              <w:ind w:left="-120" w:hanging="0"/>
              <w:jc w:val="both"/>
              <w:rPr>
                <w:rFonts w:eastAsia="Times New Roman"/>
                <w:kern w:val="0"/>
                <w:sz w:val="28"/>
                <w:szCs w:val="28"/>
              </w:rPr>
            </w:pPr>
            <w:r>
              <w:rPr>
                <w:bCs/>
                <w:sz w:val="28"/>
                <w:szCs w:val="28"/>
              </w:rPr>
              <w:t>Глава города Шарыпово</w:t>
            </w:r>
          </w:p>
        </w:tc>
        <w:tc>
          <w:tcPr>
            <w:tcW w:w="3116" w:type="dxa"/>
            <w:tcBorders>
              <w:top w:val="nil"/>
              <w:left w:val="nil"/>
              <w:bottom w:val="nil"/>
              <w:right w:val="nil"/>
            </w:tcBorders>
          </w:tcPr>
          <w:p>
            <w:pPr>
              <w:pStyle w:val="Normal"/>
              <w:widowControl/>
              <w:suppressAutoHyphens w:val="false"/>
              <w:spacing w:lineRule="auto" w:line="276"/>
              <w:jc w:val="both"/>
              <w:rPr>
                <w:rFonts w:eastAsia="Times New Roman"/>
                <w:kern w:val="0"/>
                <w:sz w:val="28"/>
                <w:szCs w:val="28"/>
              </w:rPr>
            </w:pPr>
            <w:r>
              <w:rPr>
                <w:rFonts w:eastAsia="Times New Roman"/>
                <w:kern w:val="0"/>
                <w:sz w:val="28"/>
                <w:szCs w:val="28"/>
              </w:rPr>
            </w:r>
          </w:p>
        </w:tc>
        <w:tc>
          <w:tcPr>
            <w:tcW w:w="3264" w:type="dxa"/>
            <w:tcBorders>
              <w:top w:val="nil"/>
              <w:left w:val="nil"/>
              <w:bottom w:val="nil"/>
              <w:right w:val="nil"/>
            </w:tcBorders>
          </w:tcPr>
          <w:p>
            <w:pPr>
              <w:pStyle w:val="Normal"/>
              <w:widowControl/>
              <w:suppressAutoHyphens w:val="false"/>
              <w:spacing w:lineRule="auto" w:line="276"/>
              <w:jc w:val="right"/>
              <w:rPr>
                <w:rFonts w:eastAsia="Times New Roman"/>
                <w:kern w:val="0"/>
                <w:sz w:val="28"/>
                <w:szCs w:val="28"/>
              </w:rPr>
            </w:pPr>
            <w:r>
              <w:rPr>
                <w:bCs/>
                <w:sz w:val="28"/>
                <w:szCs w:val="28"/>
              </w:rPr>
              <w:t>В.Г. Хохлов</w:t>
            </w:r>
          </w:p>
        </w:tc>
      </w:tr>
    </w:tbl>
    <w:p>
      <w:pPr>
        <w:pStyle w:val="Normal"/>
        <w:widowControl/>
        <w:suppressAutoHyphens w:val="false"/>
        <w:spacing w:lineRule="auto" w:line="276"/>
        <w:jc w:val="both"/>
        <w:rPr>
          <w:rFonts w:eastAsia="Times New Roman"/>
          <w:kern w:val="0"/>
          <w:sz w:val="28"/>
          <w:szCs w:val="28"/>
        </w:rPr>
      </w:pPr>
      <w:r>
        <w:rPr>
          <w:rFonts w:eastAsia="Times New Roman"/>
          <w:kern w:val="0"/>
          <w:sz w:val="28"/>
          <w:szCs w:val="28"/>
        </w:rPr>
      </w:r>
    </w:p>
    <w:p>
      <w:pPr>
        <w:pStyle w:val="Normal"/>
        <w:widowControl/>
        <w:suppressAutoHyphens w:val="false"/>
        <w:jc w:val="both"/>
        <w:rPr>
          <w:rFonts w:eastAsia="Times New Roman"/>
          <w:kern w:val="0"/>
          <w:sz w:val="28"/>
          <w:szCs w:val="28"/>
        </w:rPr>
      </w:pPr>
      <w:r>
        <w:rPr>
          <w:rFonts w:eastAsia="Times New Roman"/>
          <w:kern w:val="0"/>
          <w:sz w:val="28"/>
          <w:szCs w:val="28"/>
        </w:rPr>
      </w:r>
    </w:p>
    <w:tbl>
      <w:tblPr>
        <w:tblW w:w="5000" w:type="pct"/>
        <w:jc w:val="left"/>
        <w:tblInd w:w="0" w:type="dxa"/>
        <w:tblCellMar>
          <w:top w:w="0" w:type="dxa"/>
          <w:left w:w="108" w:type="dxa"/>
          <w:bottom w:w="0" w:type="dxa"/>
          <w:right w:w="108" w:type="dxa"/>
        </w:tblCellMar>
        <w:tblLook w:val="04a0" w:noHBand="0" w:noVBand="1" w:firstColumn="1" w:lastRow="0" w:lastColumn="0" w:firstRow="1"/>
      </w:tblPr>
      <w:tblGrid>
        <w:gridCol w:w="3161"/>
        <w:gridCol w:w="3063"/>
        <w:gridCol w:w="3131"/>
      </w:tblGrid>
      <w:tr>
        <w:trPr/>
        <w:tc>
          <w:tcPr>
            <w:tcW w:w="3161" w:type="dxa"/>
            <w:tcBorders/>
            <w:shd w:color="auto" w:fill="auto" w:val="clear"/>
          </w:tcPr>
          <w:p>
            <w:pPr>
              <w:pStyle w:val="Normal"/>
              <w:spacing w:lineRule="exact" w:line="322"/>
              <w:ind w:right="5" w:hanging="0"/>
              <w:jc w:val="both"/>
              <w:rPr>
                <w:bCs/>
                <w:sz w:val="28"/>
                <w:szCs w:val="28"/>
              </w:rPr>
            </w:pPr>
            <w:r>
              <w:rPr>
                <w:bCs/>
                <w:sz w:val="28"/>
                <w:szCs w:val="28"/>
              </w:rPr>
            </w:r>
          </w:p>
        </w:tc>
        <w:tc>
          <w:tcPr>
            <w:tcW w:w="3063" w:type="dxa"/>
            <w:tcBorders/>
            <w:shd w:color="auto" w:fill="auto" w:val="clear"/>
          </w:tcPr>
          <w:p>
            <w:pPr>
              <w:pStyle w:val="Normal"/>
              <w:spacing w:lineRule="exact" w:line="322"/>
              <w:ind w:right="5" w:hanging="0"/>
              <w:jc w:val="both"/>
              <w:rPr>
                <w:bCs/>
                <w:sz w:val="28"/>
                <w:szCs w:val="28"/>
              </w:rPr>
            </w:pPr>
            <w:r>
              <w:rPr>
                <w:bCs/>
                <w:sz w:val="28"/>
                <w:szCs w:val="28"/>
              </w:rPr>
            </w:r>
          </w:p>
        </w:tc>
        <w:tc>
          <w:tcPr>
            <w:tcW w:w="3131" w:type="dxa"/>
            <w:tcBorders/>
            <w:shd w:color="auto" w:fill="auto" w:val="clear"/>
          </w:tcPr>
          <w:p>
            <w:pPr>
              <w:pStyle w:val="Normal"/>
              <w:spacing w:lineRule="exact" w:line="322"/>
              <w:jc w:val="right"/>
              <w:rPr>
                <w:bCs/>
                <w:sz w:val="28"/>
                <w:szCs w:val="28"/>
              </w:rPr>
            </w:pPr>
            <w:r>
              <w:rPr>
                <w:bCs/>
                <w:sz w:val="28"/>
                <w:szCs w:val="28"/>
              </w:rPr>
              <w:t xml:space="preserve">     </w:t>
            </w:r>
          </w:p>
        </w:tc>
      </w:tr>
    </w:tbl>
    <w:p>
      <w:pPr>
        <w:pStyle w:val="Normal"/>
        <w:widowControl/>
        <w:suppressAutoHyphens w:val="false"/>
        <w:rPr>
          <w:rFonts w:eastAsia="Times New Roman"/>
          <w:bCs/>
          <w:kern w:val="0"/>
          <w:sz w:val="28"/>
          <w:szCs w:val="28"/>
        </w:rPr>
      </w:pPr>
      <w:r>
        <w:rPr>
          <w:rFonts w:eastAsia="Times New Roman"/>
          <w:bCs/>
          <w:kern w:val="0"/>
          <w:sz w:val="28"/>
          <w:szCs w:val="28"/>
        </w:rPr>
      </w:r>
    </w:p>
    <w:p>
      <w:pPr>
        <w:pStyle w:val="Normal"/>
        <w:widowControl/>
        <w:suppressAutoHyphens w:val="false"/>
        <w:rPr>
          <w:rFonts w:eastAsia="Times New Roman"/>
          <w:bCs/>
          <w:kern w:val="0"/>
          <w:sz w:val="28"/>
          <w:szCs w:val="28"/>
        </w:rPr>
      </w:pPr>
      <w:r>
        <w:rPr>
          <w:rFonts w:eastAsia="Times New Roman"/>
          <w:bCs/>
          <w:kern w:val="0"/>
          <w:sz w:val="28"/>
          <w:szCs w:val="28"/>
        </w:rPr>
      </w:r>
    </w:p>
    <w:p>
      <w:pPr>
        <w:pStyle w:val="Normal"/>
        <w:widowControl/>
        <w:suppressAutoHyphens w:val="false"/>
        <w:rPr>
          <w:rFonts w:eastAsia="Times New Roman"/>
          <w:bCs/>
          <w:kern w:val="0"/>
          <w:sz w:val="28"/>
          <w:szCs w:val="28"/>
        </w:rPr>
      </w:pPr>
      <w:r>
        <w:rPr>
          <w:rFonts w:eastAsia="Times New Roman"/>
          <w:bCs/>
          <w:kern w:val="0"/>
          <w:sz w:val="28"/>
          <w:szCs w:val="28"/>
        </w:rPr>
      </w:r>
    </w:p>
    <w:p>
      <w:pPr>
        <w:pStyle w:val="Normal"/>
        <w:widowControl/>
        <w:suppressAutoHyphens w:val="false"/>
        <w:rPr>
          <w:rFonts w:eastAsia="Times New Roman"/>
          <w:bCs/>
          <w:kern w:val="0"/>
          <w:sz w:val="28"/>
          <w:szCs w:val="28"/>
        </w:rPr>
      </w:pPr>
      <w:r>
        <w:rPr>
          <w:rFonts w:eastAsia="Times New Roman"/>
          <w:bCs/>
          <w:kern w:val="0"/>
          <w:sz w:val="28"/>
          <w:szCs w:val="28"/>
        </w:rPr>
      </w:r>
    </w:p>
    <w:p>
      <w:pPr>
        <w:pStyle w:val="Normal"/>
        <w:widowControl/>
        <w:suppressAutoHyphens w:val="false"/>
        <w:rPr>
          <w:rFonts w:eastAsia="Times New Roman"/>
          <w:bCs/>
          <w:kern w:val="0"/>
          <w:sz w:val="28"/>
          <w:szCs w:val="28"/>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1</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rFonts w:eastAsia="Times New Roman"/>
          <w:bCs/>
          <w:kern w:val="0"/>
          <w:sz w:val="28"/>
          <w:szCs w:val="28"/>
          <w:lang w:bidi="ru-RU"/>
        </w:rPr>
      </w:pPr>
      <w:r>
        <w:rPr>
          <w:rFonts w:eastAsia="Times New Roman"/>
          <w:bCs/>
          <w:kern w:val="0"/>
          <w:sz w:val="28"/>
          <w:szCs w:val="28"/>
          <w:lang w:bidi="ru-RU"/>
        </w:rPr>
      </w:r>
    </w:p>
    <w:p>
      <w:pPr>
        <w:pStyle w:val="Normal"/>
        <w:jc w:val="center"/>
        <w:rPr>
          <w:b/>
          <w:b/>
          <w:sz w:val="28"/>
          <w:szCs w:val="28"/>
        </w:rPr>
      </w:pPr>
      <w:r>
        <w:rPr>
          <w:b/>
          <w:sz w:val="28"/>
          <w:szCs w:val="28"/>
        </w:rPr>
        <w:t xml:space="preserve">Нормы оплаты питания участников физкультурных мероприятий </w:t>
      </w:r>
    </w:p>
    <w:p>
      <w:pPr>
        <w:pStyle w:val="Normal"/>
        <w:jc w:val="center"/>
        <w:rPr>
          <w:rFonts w:eastAsia="Times New Roman"/>
          <w:b/>
          <w:b/>
          <w:bCs/>
          <w:kern w:val="0"/>
          <w:sz w:val="28"/>
          <w:szCs w:val="28"/>
          <w:lang w:bidi="ru-RU"/>
        </w:rPr>
      </w:pPr>
      <w:r>
        <w:rPr>
          <w:b/>
          <w:sz w:val="28"/>
          <w:szCs w:val="28"/>
        </w:rPr>
        <w:t>и спортивных мероприятий</w:t>
      </w:r>
    </w:p>
    <w:p>
      <w:pPr>
        <w:pStyle w:val="Normal"/>
        <w:rPr>
          <w:rFonts w:eastAsia="Times New Roman"/>
          <w:bCs/>
          <w:kern w:val="0"/>
          <w:sz w:val="28"/>
          <w:szCs w:val="28"/>
          <w:lang w:bidi="ru-RU"/>
        </w:rPr>
      </w:pPr>
      <w:r>
        <w:rPr>
          <w:rFonts w:eastAsia="Times New Roman"/>
          <w:bCs/>
          <w:kern w:val="0"/>
          <w:sz w:val="28"/>
          <w:szCs w:val="28"/>
          <w:lang w:bidi="ru-RU"/>
        </w:rPr>
      </w:r>
    </w:p>
    <w:tbl>
      <w:tblPr>
        <w:tblW w:w="9064" w:type="dxa"/>
        <w:jc w:val="center"/>
        <w:tblInd w:w="0" w:type="dxa"/>
        <w:tblCellMar>
          <w:top w:w="0" w:type="dxa"/>
          <w:left w:w="7" w:type="dxa"/>
          <w:bottom w:w="0" w:type="dxa"/>
          <w:right w:w="7" w:type="dxa"/>
        </w:tblCellMar>
        <w:tblLook w:val="0000" w:noHBand="0" w:noVBand="0" w:firstColumn="0" w:lastRow="0" w:lastColumn="0" w:firstRow="0"/>
      </w:tblPr>
      <w:tblGrid>
        <w:gridCol w:w="4812"/>
        <w:gridCol w:w="4251"/>
      </w:tblGrid>
      <w:tr>
        <w:trPr/>
        <w:tc>
          <w:tcPr>
            <w:tcW w:w="4812"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Категория мероприятий</w:t>
            </w:r>
          </w:p>
        </w:tc>
        <w:tc>
          <w:tcPr>
            <w:tcW w:w="4251"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на одного человека в день (в рублях)</w:t>
            </w:r>
          </w:p>
        </w:tc>
      </w:tr>
      <w:tr>
        <w:trPr/>
        <w:tc>
          <w:tcPr>
            <w:tcW w:w="4812"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1. Региональные, межрегиональные и всероссийские физкультурные мероприятия</w:t>
            </w:r>
          </w:p>
        </w:tc>
        <w:tc>
          <w:tcPr>
            <w:tcW w:w="4251"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700</w:t>
            </w:r>
          </w:p>
        </w:tc>
      </w:tr>
      <w:tr>
        <w:trPr/>
        <w:tc>
          <w:tcPr>
            <w:tcW w:w="4812"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2. Всероссийские спортивные соревнования и тренировочные мероприятия с участием спортивных сборных команд Российской Федерации, проводимые на территории Российской Федерации</w:t>
            </w:r>
          </w:p>
        </w:tc>
        <w:tc>
          <w:tcPr>
            <w:tcW w:w="4251"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1000</w:t>
            </w:r>
          </w:p>
        </w:tc>
      </w:tr>
    </w:tbl>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r>
        <w:br w:type="page"/>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2</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sz w:val="28"/>
          <w:szCs w:val="28"/>
        </w:rPr>
      </w:pPr>
      <w:r>
        <w:rPr>
          <w:sz w:val="28"/>
          <w:szCs w:val="28"/>
        </w:rPr>
      </w:r>
    </w:p>
    <w:p>
      <w:pPr>
        <w:pStyle w:val="Normal"/>
        <w:jc w:val="center"/>
        <w:rPr>
          <w:b/>
          <w:b/>
          <w:sz w:val="28"/>
          <w:szCs w:val="28"/>
        </w:rPr>
      </w:pPr>
      <w:r>
        <w:rPr>
          <w:b/>
          <w:sz w:val="28"/>
          <w:szCs w:val="28"/>
        </w:rPr>
        <w:t xml:space="preserve">Нормы оплаты проживания участников физкультурных мероприятий </w:t>
      </w:r>
    </w:p>
    <w:p>
      <w:pPr>
        <w:pStyle w:val="Normal"/>
        <w:jc w:val="center"/>
        <w:rPr>
          <w:rFonts w:eastAsia="Times New Roman"/>
          <w:b/>
          <w:b/>
          <w:bCs/>
          <w:kern w:val="0"/>
          <w:sz w:val="28"/>
          <w:szCs w:val="28"/>
          <w:lang w:bidi="ru-RU"/>
        </w:rPr>
      </w:pPr>
      <w:r>
        <w:rPr>
          <w:b/>
          <w:sz w:val="28"/>
          <w:szCs w:val="28"/>
        </w:rPr>
        <w:t>и спортивных мероприятий</w:t>
      </w:r>
    </w:p>
    <w:p>
      <w:pPr>
        <w:pStyle w:val="Normal"/>
        <w:rPr>
          <w:rFonts w:eastAsia="Times New Roman"/>
          <w:bCs/>
          <w:kern w:val="0"/>
          <w:sz w:val="28"/>
          <w:szCs w:val="28"/>
          <w:lang w:bidi="ru-RU"/>
        </w:rPr>
      </w:pPr>
      <w:r>
        <w:rPr>
          <w:rFonts w:eastAsia="Times New Roman"/>
          <w:bCs/>
          <w:kern w:val="0"/>
          <w:sz w:val="28"/>
          <w:szCs w:val="28"/>
          <w:lang w:bidi="ru-RU"/>
        </w:rPr>
      </w:r>
    </w:p>
    <w:tbl>
      <w:tblPr>
        <w:tblW w:w="9064" w:type="dxa"/>
        <w:jc w:val="center"/>
        <w:tblInd w:w="0" w:type="dxa"/>
        <w:tblCellMar>
          <w:top w:w="0" w:type="dxa"/>
          <w:left w:w="7" w:type="dxa"/>
          <w:bottom w:w="0" w:type="dxa"/>
          <w:right w:w="7" w:type="dxa"/>
        </w:tblCellMar>
        <w:tblLook w:val="0000" w:noHBand="0" w:noVBand="0" w:firstColumn="0" w:lastRow="0" w:lastColumn="0" w:firstRow="0"/>
      </w:tblPr>
      <w:tblGrid>
        <w:gridCol w:w="4812"/>
        <w:gridCol w:w="4251"/>
      </w:tblGrid>
      <w:tr>
        <w:trPr/>
        <w:tc>
          <w:tcPr>
            <w:tcW w:w="4812"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Категория мероприятий</w:t>
            </w:r>
          </w:p>
        </w:tc>
        <w:tc>
          <w:tcPr>
            <w:tcW w:w="4251"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на одного человека в сутки (в рублях)</w:t>
            </w:r>
          </w:p>
        </w:tc>
      </w:tr>
      <w:tr>
        <w:trPr/>
        <w:tc>
          <w:tcPr>
            <w:tcW w:w="4812"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1. Региональные, межрегиональные и всероссийские физкультурные мероприятия</w:t>
            </w:r>
          </w:p>
        </w:tc>
        <w:tc>
          <w:tcPr>
            <w:tcW w:w="4251"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1000</w:t>
            </w:r>
          </w:p>
        </w:tc>
      </w:tr>
      <w:tr>
        <w:trPr/>
        <w:tc>
          <w:tcPr>
            <w:tcW w:w="4812"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2. Всероссийские спортивные соревнования и тренировочные мероприятия с участием спортивных сборных команд Российской Федерации, проводимые на территории Российской Федерации</w:t>
            </w:r>
          </w:p>
        </w:tc>
        <w:tc>
          <w:tcPr>
            <w:tcW w:w="4251"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2000</w:t>
            </w:r>
          </w:p>
        </w:tc>
      </w:tr>
    </w:tbl>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r>
        <w:br w:type="page"/>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3</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jc w:val="center"/>
        <w:rPr>
          <w:rFonts w:eastAsia="Times New Roman"/>
          <w:b/>
          <w:b/>
          <w:bCs/>
          <w:kern w:val="0"/>
          <w:sz w:val="28"/>
          <w:szCs w:val="28"/>
          <w:lang w:bidi="ru-RU"/>
        </w:rPr>
      </w:pPr>
      <w:r>
        <w:rPr>
          <w:rFonts w:eastAsia="Times New Roman"/>
          <w:b/>
          <w:bCs/>
          <w:kern w:val="0"/>
          <w:sz w:val="28"/>
          <w:szCs w:val="28"/>
          <w:lang w:bidi="ru-RU"/>
        </w:rPr>
      </w:r>
    </w:p>
    <w:p>
      <w:pPr>
        <w:pStyle w:val="Normal"/>
        <w:jc w:val="center"/>
        <w:rPr>
          <w:rFonts w:eastAsia="Times New Roman"/>
          <w:b/>
          <w:b/>
          <w:bCs/>
          <w:kern w:val="0"/>
          <w:sz w:val="28"/>
          <w:szCs w:val="28"/>
          <w:lang w:bidi="ru-RU"/>
        </w:rPr>
      </w:pPr>
      <w:r>
        <w:rPr>
          <w:b/>
          <w:sz w:val="28"/>
          <w:szCs w:val="28"/>
        </w:rPr>
        <w:t>Нормы оплаты услуг спортивных судей на физкультурных мероприятиях и спортивных мероприятиях</w:t>
      </w:r>
    </w:p>
    <w:p>
      <w:pPr>
        <w:pStyle w:val="Normal"/>
        <w:rPr>
          <w:rFonts w:eastAsia="Times New Roman"/>
          <w:bCs/>
          <w:kern w:val="0"/>
          <w:sz w:val="28"/>
          <w:szCs w:val="28"/>
          <w:lang w:bidi="ru-RU"/>
        </w:rPr>
      </w:pPr>
      <w:r>
        <w:rPr>
          <w:rFonts w:eastAsia="Times New Roman"/>
          <w:bCs/>
          <w:kern w:val="0"/>
          <w:sz w:val="28"/>
          <w:szCs w:val="28"/>
          <w:lang w:bidi="ru-RU"/>
        </w:rPr>
      </w:r>
    </w:p>
    <w:tbl>
      <w:tblPr>
        <w:tblW w:w="9345" w:type="dxa"/>
        <w:jc w:val="center"/>
        <w:tblInd w:w="0" w:type="dxa"/>
        <w:tblCellMar>
          <w:top w:w="0" w:type="dxa"/>
          <w:left w:w="7" w:type="dxa"/>
          <w:bottom w:w="0" w:type="dxa"/>
          <w:right w:w="7" w:type="dxa"/>
        </w:tblCellMar>
        <w:tblLook w:val="0000" w:noHBand="0" w:noVBand="0" w:firstColumn="0" w:lastRow="0" w:lastColumn="0" w:firstRow="0"/>
      </w:tblPr>
      <w:tblGrid>
        <w:gridCol w:w="1976"/>
        <w:gridCol w:w="1480"/>
        <w:gridCol w:w="1488"/>
        <w:gridCol w:w="1487"/>
        <w:gridCol w:w="1487"/>
        <w:gridCol w:w="1426"/>
      </w:tblGrid>
      <w:tr>
        <w:trPr/>
        <w:tc>
          <w:tcPr>
            <w:tcW w:w="1976" w:type="dxa"/>
            <w:vMerge w:val="restart"/>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Наименования спортивных судей в составе судейской бригады </w:t>
            </w:r>
          </w:p>
        </w:tc>
        <w:tc>
          <w:tcPr>
            <w:tcW w:w="7368" w:type="dxa"/>
            <w:gridSpan w:val="5"/>
            <w:tcBorders>
              <w:top w:val="single" w:sz="2" w:space="0" w:color="000000"/>
              <w:left w:val="single" w:sz="2" w:space="0" w:color="000000"/>
              <w:bottom w:val="single" w:sz="2" w:space="0" w:color="000000"/>
              <w:right w:val="single" w:sz="2" w:space="0" w:color="000000"/>
            </w:tcBorders>
          </w:tcPr>
          <w:p>
            <w:pPr>
              <w:pStyle w:val="Normal"/>
              <w:rPr>
                <w:rFonts w:eastAsia="Times New Roman"/>
                <w:bCs/>
                <w:kern w:val="0"/>
                <w:sz w:val="28"/>
                <w:szCs w:val="28"/>
                <w:lang w:bidi="ru-RU"/>
              </w:rPr>
            </w:pPr>
            <w:r>
              <w:rPr>
                <w:sz w:val="28"/>
                <w:szCs w:val="28"/>
                <w:lang w:eastAsia="en-US"/>
              </w:rPr>
              <w:t>Квалификационные категории спортивных судей &lt;1&gt;</w:t>
            </w:r>
          </w:p>
        </w:tc>
      </w:tr>
      <w:tr>
        <w:trPr/>
        <w:tc>
          <w:tcPr>
            <w:tcW w:w="1976" w:type="dxa"/>
            <w:vMerge w:val="continue"/>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Спортивный судья всероссийской категории</w:t>
            </w:r>
          </w:p>
        </w:tc>
        <w:tc>
          <w:tcPr>
            <w:tcW w:w="1488"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Спортивный судья первой категории</w:t>
            </w:r>
          </w:p>
        </w:tc>
        <w:tc>
          <w:tcPr>
            <w:tcW w:w="1487"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Спортивный судья второй категории</w:t>
            </w:r>
          </w:p>
        </w:tc>
        <w:tc>
          <w:tcPr>
            <w:tcW w:w="1487"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Спортивный судья третьей категории</w:t>
            </w:r>
          </w:p>
        </w:tc>
        <w:tc>
          <w:tcPr>
            <w:tcW w:w="1426"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Юный</w:t>
            </w:r>
          </w:p>
          <w:p>
            <w:pPr>
              <w:pStyle w:val="Normal"/>
              <w:rPr>
                <w:rFonts w:eastAsia="Times New Roman"/>
                <w:bCs/>
                <w:kern w:val="0"/>
                <w:sz w:val="28"/>
                <w:szCs w:val="28"/>
                <w:lang w:bidi="ru-RU"/>
              </w:rPr>
            </w:pPr>
            <w:r>
              <w:rPr>
                <w:rFonts w:eastAsia="Times New Roman"/>
                <w:bCs/>
                <w:kern w:val="0"/>
                <w:sz w:val="28"/>
                <w:szCs w:val="28"/>
                <w:lang w:bidi="ru-RU"/>
              </w:rPr>
              <w:t>спортивный</w:t>
            </w:r>
          </w:p>
          <w:p>
            <w:pPr>
              <w:pStyle w:val="Normal"/>
              <w:rPr>
                <w:rFonts w:eastAsia="Times New Roman"/>
                <w:bCs/>
                <w:kern w:val="0"/>
                <w:sz w:val="28"/>
                <w:szCs w:val="28"/>
                <w:lang w:bidi="ru-RU"/>
              </w:rPr>
            </w:pPr>
            <w:r>
              <w:rPr>
                <w:rFonts w:eastAsia="Times New Roman"/>
                <w:bCs/>
                <w:kern w:val="0"/>
                <w:sz w:val="28"/>
                <w:szCs w:val="28"/>
                <w:lang w:bidi="ru-RU"/>
              </w:rPr>
              <w:t>судья</w:t>
            </w:r>
          </w:p>
        </w:tc>
      </w:tr>
      <w:tr>
        <w:trPr/>
        <w:tc>
          <w:tcPr>
            <w:tcW w:w="9344" w:type="dxa"/>
            <w:gridSpan w:val="6"/>
            <w:tcBorders>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Размер оплаты установлен за обслуживание одного соревновательного дня</w:t>
            </w:r>
          </w:p>
          <w:p>
            <w:pPr>
              <w:pStyle w:val="Normal"/>
              <w:jc w:val="center"/>
              <w:rPr>
                <w:rFonts w:eastAsia="Times New Roman"/>
                <w:bCs/>
                <w:kern w:val="0"/>
                <w:sz w:val="28"/>
                <w:szCs w:val="28"/>
                <w:lang w:bidi="ru-RU"/>
              </w:rPr>
            </w:pPr>
            <w:r>
              <w:rPr>
                <w:rFonts w:eastAsia="Times New Roman"/>
                <w:bCs/>
                <w:kern w:val="0"/>
                <w:sz w:val="28"/>
                <w:szCs w:val="28"/>
                <w:lang w:bidi="ru-RU"/>
              </w:rPr>
              <w:t xml:space="preserve"> </w:t>
            </w:r>
            <w:r>
              <w:rPr>
                <w:rFonts w:eastAsia="Times New Roman"/>
                <w:bCs/>
                <w:kern w:val="0"/>
                <w:sz w:val="28"/>
                <w:szCs w:val="28"/>
                <w:lang w:bidi="ru-RU"/>
              </w:rPr>
              <w:t>в рублях</w:t>
            </w:r>
          </w:p>
        </w:tc>
      </w:tr>
      <w:tr>
        <w:trPr/>
        <w:tc>
          <w:tcPr>
            <w:tcW w:w="197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Главный спортивный судья </w:t>
            </w:r>
          </w:p>
        </w:tc>
        <w:tc>
          <w:tcPr>
            <w:tcW w:w="1480"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1000</w:t>
            </w:r>
          </w:p>
        </w:tc>
        <w:tc>
          <w:tcPr>
            <w:tcW w:w="148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850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26"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r>
      <w:tr>
        <w:trPr/>
        <w:tc>
          <w:tcPr>
            <w:tcW w:w="197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Главный спортивный судья-секретарь </w:t>
            </w:r>
          </w:p>
        </w:tc>
        <w:tc>
          <w:tcPr>
            <w:tcW w:w="1480"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1000</w:t>
            </w:r>
          </w:p>
        </w:tc>
        <w:tc>
          <w:tcPr>
            <w:tcW w:w="148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850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26"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r>
      <w:tr>
        <w:trPr/>
        <w:tc>
          <w:tcPr>
            <w:tcW w:w="197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Заместитель главного спортивного судьи, главного секретаря </w:t>
            </w:r>
          </w:p>
        </w:tc>
        <w:tc>
          <w:tcPr>
            <w:tcW w:w="1480"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900</w:t>
            </w:r>
          </w:p>
        </w:tc>
        <w:tc>
          <w:tcPr>
            <w:tcW w:w="148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800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640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26"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r>
      <w:tr>
        <w:trPr/>
        <w:tc>
          <w:tcPr>
            <w:tcW w:w="197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Спортивный судья</w:t>
            </w:r>
          </w:p>
        </w:tc>
        <w:tc>
          <w:tcPr>
            <w:tcW w:w="1480"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850</w:t>
            </w:r>
          </w:p>
        </w:tc>
        <w:tc>
          <w:tcPr>
            <w:tcW w:w="148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750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600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450</w:t>
            </w:r>
          </w:p>
        </w:tc>
        <w:tc>
          <w:tcPr>
            <w:tcW w:w="1426"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380</w:t>
            </w:r>
          </w:p>
        </w:tc>
      </w:tr>
      <w:tr>
        <w:trPr/>
        <w:tc>
          <w:tcPr>
            <w:tcW w:w="9344" w:type="dxa"/>
            <w:gridSpan w:val="6"/>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Командные игровые виды спорта</w:t>
            </w:r>
          </w:p>
          <w:p>
            <w:pPr>
              <w:pStyle w:val="Normal"/>
              <w:rPr>
                <w:rFonts w:eastAsia="Times New Roman"/>
                <w:bCs/>
                <w:kern w:val="0"/>
                <w:sz w:val="28"/>
                <w:szCs w:val="28"/>
                <w:lang w:bidi="ru-RU"/>
              </w:rPr>
            </w:pPr>
            <w:r>
              <w:rPr>
                <w:rFonts w:eastAsia="Times New Roman"/>
                <w:bCs/>
                <w:kern w:val="0"/>
                <w:sz w:val="28"/>
                <w:szCs w:val="28"/>
                <w:lang w:bidi="ru-RU"/>
              </w:rPr>
              <w:t>(размер оплаты установлен за обслуживание одного соревновательного дня в рублях)</w:t>
            </w:r>
          </w:p>
        </w:tc>
      </w:tr>
      <w:tr>
        <w:trPr/>
        <w:tc>
          <w:tcPr>
            <w:tcW w:w="197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Главный спортивный судья</w:t>
            </w:r>
          </w:p>
        </w:tc>
        <w:tc>
          <w:tcPr>
            <w:tcW w:w="1480"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850</w:t>
            </w:r>
          </w:p>
        </w:tc>
        <w:tc>
          <w:tcPr>
            <w:tcW w:w="148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750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26"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r>
      <w:tr>
        <w:trPr/>
        <w:tc>
          <w:tcPr>
            <w:tcW w:w="197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Помощник главного спортивного судьи</w:t>
            </w:r>
          </w:p>
        </w:tc>
        <w:tc>
          <w:tcPr>
            <w:tcW w:w="1480"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850</w:t>
            </w:r>
          </w:p>
        </w:tc>
        <w:tc>
          <w:tcPr>
            <w:tcW w:w="148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750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26"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r>
      <w:tr>
        <w:trPr/>
        <w:tc>
          <w:tcPr>
            <w:tcW w:w="197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Комиссар</w:t>
            </w:r>
          </w:p>
        </w:tc>
        <w:tc>
          <w:tcPr>
            <w:tcW w:w="1480"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800</w:t>
            </w:r>
          </w:p>
        </w:tc>
        <w:tc>
          <w:tcPr>
            <w:tcW w:w="148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c>
          <w:tcPr>
            <w:tcW w:w="1426"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w:t>
            </w:r>
          </w:p>
        </w:tc>
      </w:tr>
      <w:tr>
        <w:trPr/>
        <w:tc>
          <w:tcPr>
            <w:tcW w:w="197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Спортивный судья, входящий в состав судейской бригады</w:t>
            </w:r>
          </w:p>
        </w:tc>
        <w:tc>
          <w:tcPr>
            <w:tcW w:w="1480"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750</w:t>
            </w:r>
          </w:p>
        </w:tc>
        <w:tc>
          <w:tcPr>
            <w:tcW w:w="148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700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650</w:t>
            </w:r>
          </w:p>
        </w:tc>
        <w:tc>
          <w:tcPr>
            <w:tcW w:w="1487"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620</w:t>
            </w:r>
          </w:p>
        </w:tc>
        <w:tc>
          <w:tcPr>
            <w:tcW w:w="1426"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600</w:t>
            </w:r>
          </w:p>
        </w:tc>
      </w:tr>
    </w:tbl>
    <w:p>
      <w:pPr>
        <w:pStyle w:val="Normal"/>
        <w:rPr>
          <w:rFonts w:eastAsia="Times New Roman"/>
          <w:bCs/>
          <w:kern w:val="0"/>
          <w:sz w:val="28"/>
          <w:szCs w:val="28"/>
          <w:lang w:bidi="ru-RU"/>
        </w:rPr>
      </w:pPr>
      <w:r>
        <w:rPr>
          <w:rFonts w:eastAsia="Times New Roman"/>
          <w:bCs/>
          <w:kern w:val="0"/>
          <w:sz w:val="28"/>
          <w:szCs w:val="28"/>
          <w:lang w:bidi="ru-RU"/>
        </w:rPr>
      </w:r>
    </w:p>
    <w:p>
      <w:pPr>
        <w:pStyle w:val="Normal"/>
        <w:ind w:firstLine="709"/>
        <w:jc w:val="both"/>
        <w:rPr>
          <w:rFonts w:eastAsia="Times New Roman"/>
          <w:bCs/>
          <w:kern w:val="0"/>
          <w:sz w:val="28"/>
          <w:szCs w:val="28"/>
          <w:lang w:bidi="ru-RU"/>
        </w:rPr>
      </w:pPr>
      <w:r>
        <w:rPr>
          <w:rFonts w:eastAsia="Times New Roman"/>
          <w:bCs/>
          <w:kern w:val="0"/>
          <w:sz w:val="28"/>
          <w:szCs w:val="28"/>
          <w:lang w:bidi="ru-RU"/>
        </w:rPr>
        <w:t xml:space="preserve">&lt;1&gt; </w:t>
      </w:r>
      <w:hyperlink r:id="rId2">
        <w:r>
          <w:rPr>
            <w:rFonts w:eastAsia="Times New Roman"/>
            <w:bCs/>
            <w:color w:val="auto"/>
            <w:kern w:val="0"/>
            <w:sz w:val="28"/>
            <w:szCs w:val="28"/>
            <w:u w:val="none"/>
            <w:lang w:bidi="ru-RU"/>
          </w:rPr>
          <w:t>Приказ</w:t>
        </w:r>
      </w:hyperlink>
      <w:r>
        <w:rPr>
          <w:rFonts w:eastAsia="Times New Roman"/>
          <w:bCs/>
          <w:kern w:val="0"/>
          <w:sz w:val="28"/>
          <w:szCs w:val="28"/>
          <w:lang w:bidi="ru-RU"/>
        </w:rPr>
        <w:t xml:space="preserve"> Минспорта России от 28.02.2017 № 134 "Об утверждении положения о спортивных судьях" (зарегистрирован Минюстом России 31.05.2017, регистрационный № 46917).</w:t>
      </w:r>
    </w:p>
    <w:p>
      <w:pPr>
        <w:pStyle w:val="Normal"/>
        <w:ind w:firstLine="709"/>
        <w:jc w:val="both"/>
        <w:rPr>
          <w:rFonts w:eastAsia="Times New Roman"/>
          <w:bCs/>
          <w:kern w:val="0"/>
          <w:sz w:val="28"/>
          <w:szCs w:val="28"/>
          <w:lang w:bidi="ru-RU"/>
        </w:rPr>
      </w:pPr>
      <w:r>
        <w:rPr>
          <w:rFonts w:eastAsia="Times New Roman"/>
          <w:bCs/>
          <w:kern w:val="0"/>
          <w:sz w:val="28"/>
          <w:szCs w:val="28"/>
          <w:lang w:bidi="ru-RU"/>
        </w:rPr>
      </w:r>
    </w:p>
    <w:p>
      <w:pPr>
        <w:pStyle w:val="Normal"/>
        <w:ind w:firstLine="709"/>
        <w:jc w:val="both"/>
        <w:rPr>
          <w:rFonts w:eastAsia="Times New Roman"/>
          <w:bCs/>
          <w:kern w:val="0"/>
          <w:sz w:val="28"/>
          <w:szCs w:val="28"/>
          <w:lang w:bidi="ru-RU"/>
        </w:rPr>
      </w:pPr>
      <w:r>
        <w:rPr>
          <w:rFonts w:eastAsia="Times New Roman"/>
          <w:bCs/>
          <w:kern w:val="0"/>
          <w:sz w:val="28"/>
          <w:szCs w:val="28"/>
          <w:lang w:bidi="ru-RU"/>
        </w:rPr>
        <w:t>При необходимости на подготовительном и заключительном этапах проведения физкультурных мероприятий и спортивных мероприятий работа главного спортивного судьи, главного спортивного судьи-секретаря оплачивается дополнительно в количестве не более двух дней, заместителя главного спортивного судьи и заместителя главного спортивного судьи-секретаря соответственно - не более одного дня.</w:t>
      </w:r>
    </w:p>
    <w:p>
      <w:pPr>
        <w:pStyle w:val="Normal"/>
        <w:jc w:val="both"/>
        <w:rPr>
          <w:rFonts w:eastAsia="Times New Roman"/>
          <w:bCs/>
          <w:kern w:val="0"/>
          <w:sz w:val="28"/>
          <w:szCs w:val="28"/>
          <w:lang w:bidi="ru-RU"/>
        </w:rPr>
      </w:pPr>
      <w:r>
        <w:rPr>
          <w:rFonts w:eastAsia="Times New Roman"/>
          <w:bCs/>
          <w:kern w:val="0"/>
          <w:sz w:val="28"/>
          <w:szCs w:val="28"/>
          <w:lang w:bidi="ru-RU"/>
        </w:rPr>
      </w:r>
      <w:r>
        <w:br w:type="page"/>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4</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rFonts w:eastAsia="Times New Roman"/>
          <w:bCs/>
          <w:kern w:val="0"/>
          <w:sz w:val="28"/>
          <w:szCs w:val="28"/>
          <w:lang w:bidi="ru-RU"/>
        </w:rPr>
      </w:pPr>
      <w:r>
        <w:rPr>
          <w:rFonts w:eastAsia="Times New Roman"/>
          <w:bCs/>
          <w:kern w:val="0"/>
          <w:sz w:val="28"/>
          <w:szCs w:val="28"/>
          <w:lang w:bidi="ru-RU"/>
        </w:rPr>
      </w:r>
    </w:p>
    <w:p>
      <w:pPr>
        <w:pStyle w:val="Normal"/>
        <w:jc w:val="center"/>
        <w:rPr>
          <w:rFonts w:eastAsia="Times New Roman"/>
          <w:b/>
          <w:b/>
          <w:bCs/>
          <w:kern w:val="0"/>
          <w:sz w:val="28"/>
          <w:szCs w:val="28"/>
          <w:lang w:bidi="ru-RU"/>
        </w:rPr>
      </w:pPr>
      <w:r>
        <w:rPr>
          <w:b/>
          <w:sz w:val="28"/>
          <w:szCs w:val="28"/>
        </w:rPr>
        <w:t>Нормы оплаты услуг по обеспечению наградной атрибутикой победителей и призеров физкультурных мероприятий и спортивных мероприятий</w:t>
      </w:r>
    </w:p>
    <w:p>
      <w:pPr>
        <w:pStyle w:val="Normal"/>
        <w:rPr>
          <w:rFonts w:eastAsia="Times New Roman"/>
          <w:bCs/>
          <w:kern w:val="0"/>
          <w:sz w:val="28"/>
          <w:szCs w:val="28"/>
          <w:lang w:bidi="ru-RU"/>
        </w:rPr>
      </w:pPr>
      <w:r>
        <w:rPr>
          <w:rFonts w:eastAsia="Times New Roman"/>
          <w:bCs/>
          <w:kern w:val="0"/>
          <w:sz w:val="28"/>
          <w:szCs w:val="28"/>
          <w:lang w:bidi="ru-RU"/>
        </w:rPr>
      </w:r>
    </w:p>
    <w:tbl>
      <w:tblPr>
        <w:tblW w:w="9207" w:type="dxa"/>
        <w:jc w:val="center"/>
        <w:tblInd w:w="0" w:type="dxa"/>
        <w:tblCellMar>
          <w:top w:w="0" w:type="dxa"/>
          <w:left w:w="7" w:type="dxa"/>
          <w:bottom w:w="0" w:type="dxa"/>
          <w:right w:w="7" w:type="dxa"/>
        </w:tblCellMar>
        <w:tblLook w:val="0000" w:noHBand="0" w:noVBand="0" w:firstColumn="0" w:lastRow="0" w:lastColumn="0" w:firstRow="0"/>
      </w:tblPr>
      <w:tblGrid>
        <w:gridCol w:w="3326"/>
        <w:gridCol w:w="1348"/>
        <w:gridCol w:w="1064"/>
        <w:gridCol w:w="1306"/>
        <w:gridCol w:w="2163"/>
      </w:tblGrid>
      <w:tr>
        <w:trPr/>
        <w:tc>
          <w:tcPr>
            <w:tcW w:w="3326" w:type="dxa"/>
            <w:vMerge w:val="restart"/>
            <w:tcBorders>
              <w:top w:val="single" w:sz="6" w:space="0" w:color="000000"/>
              <w:left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Категории мероприятий, призовые места</w:t>
            </w:r>
          </w:p>
        </w:tc>
        <w:tc>
          <w:tcPr>
            <w:tcW w:w="2412" w:type="dxa"/>
            <w:gridSpan w:val="2"/>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памятных призов или кубков (в рублях)</w:t>
            </w:r>
          </w:p>
        </w:tc>
        <w:tc>
          <w:tcPr>
            <w:tcW w:w="1306" w:type="dxa"/>
            <w:vMerge w:val="restart"/>
            <w:tcBorders>
              <w:top w:val="single" w:sz="6" w:space="0" w:color="000000"/>
              <w:left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медали (в рублях)</w:t>
            </w:r>
          </w:p>
        </w:tc>
        <w:tc>
          <w:tcPr>
            <w:tcW w:w="2163" w:type="dxa"/>
            <w:vMerge w:val="restart"/>
            <w:tcBorders>
              <w:top w:val="single" w:sz="6" w:space="0" w:color="000000"/>
              <w:left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диплома (в рублях)</w:t>
            </w:r>
          </w:p>
        </w:tc>
      </w:tr>
      <w:tr>
        <w:trPr/>
        <w:tc>
          <w:tcPr>
            <w:tcW w:w="3326" w:type="dxa"/>
            <w:vMerge w:val="continue"/>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командные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личные</w:t>
            </w:r>
          </w:p>
        </w:tc>
        <w:tc>
          <w:tcPr>
            <w:tcW w:w="1306" w:type="dxa"/>
            <w:vMerge w:val="continue"/>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r>
          </w:p>
        </w:tc>
        <w:tc>
          <w:tcPr>
            <w:tcW w:w="2163" w:type="dxa"/>
            <w:vMerge w:val="continue"/>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r>
          </w:p>
        </w:tc>
      </w:tr>
      <w:tr>
        <w:trPr/>
        <w:tc>
          <w:tcPr>
            <w:tcW w:w="3326"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1. Региональные, межрегиональные, всероссийские физкультурные мероприятия и спортивные соревнования: </w:t>
            </w:r>
          </w:p>
        </w:tc>
        <w:tc>
          <w:tcPr>
            <w:tcW w:w="1348"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w:t>
            </w:r>
          </w:p>
        </w:tc>
        <w:tc>
          <w:tcPr>
            <w:tcW w:w="1064"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w:t>
            </w:r>
          </w:p>
        </w:tc>
        <w:tc>
          <w:tcPr>
            <w:tcW w:w="1306"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w:t>
            </w:r>
          </w:p>
        </w:tc>
        <w:tc>
          <w:tcPr>
            <w:tcW w:w="2163"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w:t>
            </w:r>
          </w:p>
        </w:tc>
      </w:tr>
      <w:tr>
        <w:trPr/>
        <w:tc>
          <w:tcPr>
            <w:tcW w:w="3326"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I место </w:t>
            </w:r>
          </w:p>
        </w:tc>
        <w:tc>
          <w:tcPr>
            <w:tcW w:w="1348"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2000 </w:t>
            </w:r>
          </w:p>
        </w:tc>
        <w:tc>
          <w:tcPr>
            <w:tcW w:w="1064"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1700 </w:t>
            </w:r>
          </w:p>
        </w:tc>
        <w:tc>
          <w:tcPr>
            <w:tcW w:w="1306"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200 </w:t>
            </w:r>
          </w:p>
        </w:tc>
        <w:tc>
          <w:tcPr>
            <w:tcW w:w="2163"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50 </w:t>
            </w:r>
          </w:p>
        </w:tc>
      </w:tr>
      <w:tr>
        <w:trPr/>
        <w:tc>
          <w:tcPr>
            <w:tcW w:w="3326"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II место </w:t>
            </w:r>
          </w:p>
        </w:tc>
        <w:tc>
          <w:tcPr>
            <w:tcW w:w="1348"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1800 </w:t>
            </w:r>
          </w:p>
        </w:tc>
        <w:tc>
          <w:tcPr>
            <w:tcW w:w="1064"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1500 </w:t>
            </w:r>
          </w:p>
        </w:tc>
        <w:tc>
          <w:tcPr>
            <w:tcW w:w="1306"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200 </w:t>
            </w:r>
          </w:p>
        </w:tc>
        <w:tc>
          <w:tcPr>
            <w:tcW w:w="2163" w:type="dxa"/>
            <w:tcBorders>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50 </w:t>
            </w:r>
          </w:p>
        </w:tc>
      </w:tr>
      <w:tr>
        <w:trPr/>
        <w:tc>
          <w:tcPr>
            <w:tcW w:w="3326" w:type="dxa"/>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III место </w:t>
            </w:r>
          </w:p>
        </w:tc>
        <w:tc>
          <w:tcPr>
            <w:tcW w:w="1348" w:type="dxa"/>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1600 </w:t>
            </w:r>
          </w:p>
        </w:tc>
        <w:tc>
          <w:tcPr>
            <w:tcW w:w="1064" w:type="dxa"/>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1300 </w:t>
            </w:r>
          </w:p>
        </w:tc>
        <w:tc>
          <w:tcPr>
            <w:tcW w:w="1306" w:type="dxa"/>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200 </w:t>
            </w:r>
          </w:p>
        </w:tc>
        <w:tc>
          <w:tcPr>
            <w:tcW w:w="2163" w:type="dxa"/>
            <w:tcBorders>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50 </w:t>
            </w:r>
          </w:p>
        </w:tc>
      </w:tr>
    </w:tbl>
    <w:p>
      <w:pPr>
        <w:pStyle w:val="Normal"/>
        <w:jc w:val="both"/>
        <w:rPr>
          <w:rFonts w:eastAsia="Times New Roman"/>
          <w:bCs/>
          <w:kern w:val="0"/>
          <w:sz w:val="28"/>
          <w:szCs w:val="28"/>
          <w:lang w:bidi="ru-RU"/>
        </w:rPr>
      </w:pPr>
      <w:r>
        <w:rPr>
          <w:rFonts w:eastAsia="Times New Roman"/>
          <w:bCs/>
          <w:kern w:val="0"/>
          <w:sz w:val="28"/>
          <w:szCs w:val="28"/>
          <w:lang w:bidi="ru-RU"/>
        </w:rPr>
      </w:r>
    </w:p>
    <w:p>
      <w:pPr>
        <w:pStyle w:val="Normal"/>
        <w:ind w:firstLine="709"/>
        <w:jc w:val="both"/>
        <w:rPr>
          <w:rFonts w:eastAsia="Times New Roman"/>
          <w:bCs/>
          <w:kern w:val="0"/>
          <w:sz w:val="28"/>
          <w:szCs w:val="28"/>
          <w:lang w:bidi="ru-RU"/>
        </w:rPr>
      </w:pPr>
      <w:r>
        <w:rPr>
          <w:rFonts w:eastAsia="Times New Roman"/>
          <w:bCs/>
          <w:kern w:val="0"/>
          <w:sz w:val="28"/>
          <w:szCs w:val="28"/>
          <w:lang w:bidi="ru-RU"/>
        </w:rPr>
        <w:t>В командных игровых видах спорта и командных спортивных дисциплинах, а также по итогам общекомандного зачета команды, занявшие призовые места, награждаются кубками, а участники команд медалями и дипломами.</w:t>
      </w:r>
    </w:p>
    <w:p>
      <w:pPr>
        <w:pStyle w:val="Normal"/>
        <w:ind w:firstLine="709"/>
        <w:jc w:val="both"/>
        <w:rPr>
          <w:rFonts w:eastAsia="Times New Roman"/>
          <w:bCs/>
          <w:kern w:val="0"/>
          <w:sz w:val="28"/>
          <w:szCs w:val="28"/>
          <w:lang w:bidi="ru-RU"/>
        </w:rPr>
      </w:pPr>
      <w:r>
        <w:rPr>
          <w:rFonts w:eastAsia="Times New Roman"/>
          <w:bCs/>
          <w:kern w:val="0"/>
          <w:sz w:val="28"/>
          <w:szCs w:val="28"/>
          <w:lang w:bidi="ru-RU"/>
        </w:rPr>
        <w:t>По итогам выступления на финальных или заключительных этапах кубков России, мира и Европы, проводимых на территории Российской Федерации, командам победителям вручается кубок и диплом, а призерам - диплом.</w:t>
      </w:r>
    </w:p>
    <w:p>
      <w:pPr>
        <w:pStyle w:val="Normal"/>
        <w:ind w:firstLine="709"/>
        <w:jc w:val="both"/>
        <w:rPr>
          <w:rFonts w:eastAsia="Times New Roman"/>
          <w:bCs/>
          <w:kern w:val="0"/>
          <w:sz w:val="28"/>
          <w:szCs w:val="28"/>
          <w:lang w:bidi="ru-RU"/>
        </w:rPr>
      </w:pPr>
      <w:r>
        <w:rPr>
          <w:rFonts w:eastAsia="Times New Roman"/>
          <w:bCs/>
          <w:kern w:val="0"/>
          <w:sz w:val="28"/>
          <w:szCs w:val="28"/>
          <w:lang w:bidi="ru-RU"/>
        </w:rPr>
        <w:t xml:space="preserve">Участникам команд - победителей и призеров вручается медаль и диплом. </w:t>
      </w:r>
    </w:p>
    <w:p>
      <w:pPr>
        <w:pStyle w:val="Normal"/>
        <w:ind w:firstLine="709"/>
        <w:jc w:val="both"/>
        <w:rPr>
          <w:rFonts w:eastAsia="Times New Roman"/>
          <w:bCs/>
          <w:kern w:val="0"/>
          <w:sz w:val="28"/>
          <w:szCs w:val="28"/>
          <w:lang w:bidi="ru-RU"/>
        </w:rPr>
      </w:pPr>
      <w:r>
        <w:rPr>
          <w:rFonts w:eastAsia="Times New Roman"/>
          <w:bCs/>
          <w:kern w:val="0"/>
          <w:sz w:val="28"/>
          <w:szCs w:val="28"/>
          <w:lang w:bidi="ru-RU"/>
        </w:rPr>
        <w:t>Победителям в личных видах программы вручается кубок, медаль и диплом, а призерам - медаль и диплом.</w:t>
      </w:r>
    </w:p>
    <w:p>
      <w:pPr>
        <w:pStyle w:val="Normal"/>
        <w:jc w:val="both"/>
        <w:rPr>
          <w:rFonts w:eastAsia="Times New Roman"/>
          <w:bCs/>
          <w:kern w:val="0"/>
          <w:sz w:val="28"/>
          <w:szCs w:val="28"/>
          <w:lang w:bidi="ru-RU"/>
        </w:rPr>
      </w:pPr>
      <w:r>
        <w:rPr>
          <w:rFonts w:eastAsia="Times New Roman"/>
          <w:bCs/>
          <w:kern w:val="0"/>
          <w:sz w:val="28"/>
          <w:szCs w:val="28"/>
          <w:lang w:bidi="ru-RU"/>
        </w:rPr>
      </w:r>
      <w:r>
        <w:br w:type="page"/>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5</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rFonts w:eastAsia="Times New Roman"/>
          <w:bCs/>
          <w:kern w:val="0"/>
          <w:sz w:val="28"/>
          <w:szCs w:val="28"/>
          <w:lang w:bidi="ru-RU"/>
        </w:rPr>
      </w:pPr>
      <w:r>
        <w:rPr>
          <w:rFonts w:eastAsia="Times New Roman"/>
          <w:bCs/>
          <w:kern w:val="0"/>
          <w:sz w:val="28"/>
          <w:szCs w:val="28"/>
          <w:lang w:bidi="ru-RU"/>
        </w:rPr>
      </w:r>
    </w:p>
    <w:p>
      <w:pPr>
        <w:pStyle w:val="Normal"/>
        <w:jc w:val="center"/>
        <w:rPr>
          <w:rFonts w:eastAsia="Times New Roman"/>
          <w:b/>
          <w:b/>
          <w:bCs/>
          <w:kern w:val="0"/>
          <w:sz w:val="28"/>
          <w:szCs w:val="28"/>
          <w:lang w:bidi="ru-RU"/>
        </w:rPr>
      </w:pPr>
      <w:r>
        <w:rPr>
          <w:b/>
          <w:sz w:val="28"/>
          <w:szCs w:val="28"/>
        </w:rPr>
        <w:t>Нормы оплаты услуг по обеспечению сувенирной продукцией участников физкультурных мероприятий и спортивных мероприятий</w:t>
      </w:r>
    </w:p>
    <w:p>
      <w:pPr>
        <w:pStyle w:val="Normal"/>
        <w:rPr>
          <w:rFonts w:eastAsia="Times New Roman"/>
          <w:bCs/>
          <w:kern w:val="0"/>
          <w:sz w:val="28"/>
          <w:szCs w:val="28"/>
          <w:lang w:bidi="ru-RU"/>
        </w:rPr>
      </w:pPr>
      <w:r>
        <w:rPr>
          <w:rFonts w:eastAsia="Times New Roman"/>
          <w:bCs/>
          <w:kern w:val="0"/>
          <w:sz w:val="28"/>
          <w:szCs w:val="28"/>
          <w:lang w:bidi="ru-RU"/>
        </w:rPr>
      </w:r>
    </w:p>
    <w:tbl>
      <w:tblPr>
        <w:tblW w:w="9206" w:type="dxa"/>
        <w:jc w:val="center"/>
        <w:tblInd w:w="0" w:type="dxa"/>
        <w:tblCellMar>
          <w:top w:w="0" w:type="dxa"/>
          <w:left w:w="7" w:type="dxa"/>
          <w:bottom w:w="0" w:type="dxa"/>
          <w:right w:w="7" w:type="dxa"/>
        </w:tblCellMar>
        <w:tblLook w:val="0000" w:noHBand="0" w:noVBand="0" w:firstColumn="0" w:lastRow="0" w:lastColumn="0" w:firstRow="0"/>
      </w:tblPr>
      <w:tblGrid>
        <w:gridCol w:w="4786"/>
        <w:gridCol w:w="4419"/>
      </w:tblGrid>
      <w:tr>
        <w:trPr/>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Категория мероприятий</w:t>
            </w:r>
          </w:p>
        </w:tc>
        <w:tc>
          <w:tcPr>
            <w:tcW w:w="4419"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комплекта из расчета на одного человека (в рублях)</w:t>
            </w:r>
          </w:p>
        </w:tc>
      </w:tr>
      <w:tr>
        <w:trPr/>
        <w:tc>
          <w:tcPr>
            <w:tcW w:w="478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1. Региональные, межрегиональные и всероссийские физкультурные мероприятия</w:t>
            </w:r>
          </w:p>
        </w:tc>
        <w:tc>
          <w:tcPr>
            <w:tcW w:w="4419"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450</w:t>
            </w:r>
          </w:p>
        </w:tc>
      </w:tr>
      <w:tr>
        <w:trPr/>
        <w:tc>
          <w:tcPr>
            <w:tcW w:w="478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2. Международные спортивные соревнования, проводимые на территории Российской Федерации, Всероссийские спартакиады среди обучающихся, молодежи, лиц с ограниченными возможностями здоровья, сильнейших спортсменов без ограничения верхней границы возраста, Всероссийские универсиады</w:t>
            </w:r>
          </w:p>
        </w:tc>
        <w:tc>
          <w:tcPr>
            <w:tcW w:w="4419"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600</w:t>
            </w:r>
          </w:p>
        </w:tc>
      </w:tr>
    </w:tbl>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r>
        <w:br w:type="page"/>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6</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jc w:val="center"/>
        <w:rPr>
          <w:rFonts w:eastAsia="Times New Roman"/>
          <w:b/>
          <w:b/>
          <w:bCs/>
          <w:kern w:val="0"/>
          <w:sz w:val="28"/>
          <w:szCs w:val="28"/>
          <w:lang w:bidi="ru-RU"/>
        </w:rPr>
      </w:pPr>
      <w:r>
        <w:rPr>
          <w:rFonts w:eastAsia="Times New Roman"/>
          <w:b/>
          <w:bCs/>
          <w:kern w:val="0"/>
          <w:sz w:val="28"/>
          <w:szCs w:val="28"/>
          <w:lang w:bidi="ru-RU"/>
        </w:rPr>
      </w:r>
    </w:p>
    <w:p>
      <w:pPr>
        <w:pStyle w:val="Normal"/>
        <w:jc w:val="center"/>
        <w:rPr>
          <w:rFonts w:eastAsia="Times New Roman"/>
          <w:b/>
          <w:b/>
          <w:bCs/>
          <w:kern w:val="0"/>
          <w:sz w:val="28"/>
          <w:szCs w:val="28"/>
          <w:lang w:bidi="ru-RU"/>
        </w:rPr>
      </w:pPr>
      <w:r>
        <w:rPr>
          <w:rFonts w:eastAsia="Times New Roman"/>
          <w:b/>
          <w:bCs/>
          <w:kern w:val="0"/>
          <w:sz w:val="28"/>
          <w:szCs w:val="28"/>
          <w:lang w:bidi="ru-RU"/>
        </w:rPr>
        <w:t>Нормы оплаты услуг по обеспечению транспортными средствами участников физкультурных мероприятий и спортивных мероприятий</w:t>
      </w:r>
    </w:p>
    <w:p>
      <w:pPr>
        <w:pStyle w:val="Normal"/>
        <w:rPr>
          <w:rFonts w:eastAsia="Times New Roman"/>
          <w:bCs/>
          <w:kern w:val="0"/>
          <w:sz w:val="28"/>
          <w:szCs w:val="28"/>
          <w:lang w:bidi="ru-RU"/>
        </w:rPr>
      </w:pPr>
      <w:r>
        <w:rPr>
          <w:rFonts w:eastAsia="Times New Roman"/>
          <w:bCs/>
          <w:kern w:val="0"/>
          <w:sz w:val="28"/>
          <w:szCs w:val="28"/>
          <w:lang w:bidi="ru-RU"/>
        </w:rPr>
      </w:r>
    </w:p>
    <w:tbl>
      <w:tblPr>
        <w:tblW w:w="9206" w:type="dxa"/>
        <w:jc w:val="center"/>
        <w:tblInd w:w="0" w:type="dxa"/>
        <w:tblCellMar>
          <w:top w:w="0" w:type="dxa"/>
          <w:left w:w="7" w:type="dxa"/>
          <w:bottom w:w="0" w:type="dxa"/>
          <w:right w:w="7" w:type="dxa"/>
        </w:tblCellMar>
        <w:tblLook w:val="0000" w:noHBand="0" w:noVBand="0" w:firstColumn="0" w:lastRow="0" w:lastColumn="0" w:firstRow="0"/>
      </w:tblPr>
      <w:tblGrid>
        <w:gridCol w:w="558"/>
        <w:gridCol w:w="3970"/>
        <w:gridCol w:w="2968"/>
        <w:gridCol w:w="1709"/>
      </w:tblGrid>
      <w:tr>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w:t>
            </w:r>
          </w:p>
          <w:p>
            <w:pPr>
              <w:pStyle w:val="Normal"/>
              <w:rPr>
                <w:rFonts w:eastAsia="Times New Roman"/>
                <w:bCs/>
                <w:kern w:val="0"/>
                <w:sz w:val="28"/>
                <w:szCs w:val="28"/>
                <w:lang w:bidi="ru-RU"/>
              </w:rPr>
            </w:pPr>
            <w:r>
              <w:rPr>
                <w:rFonts w:eastAsia="Times New Roman"/>
                <w:bCs/>
                <w:kern w:val="0"/>
                <w:sz w:val="28"/>
                <w:szCs w:val="28"/>
                <w:lang w:bidi="ru-RU"/>
              </w:rPr>
              <w:t>п/п</w:t>
            </w:r>
          </w:p>
        </w:tc>
        <w:tc>
          <w:tcPr>
            <w:tcW w:w="3970"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Наименование транспортного средства</w:t>
            </w:r>
          </w:p>
        </w:tc>
        <w:tc>
          <w:tcPr>
            <w:tcW w:w="2968"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Место проведения</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услуг в час (в рублях)</w:t>
            </w:r>
          </w:p>
        </w:tc>
      </w:tr>
      <w:tr>
        <w:trPr>
          <w:trHeight w:val="828" w:hRule="atLeast"/>
        </w:trPr>
        <w:tc>
          <w:tcPr>
            <w:tcW w:w="558" w:type="dxa"/>
            <w:tcBorders>
              <w:top w:val="single" w:sz="6" w:space="0" w:color="000000"/>
              <w:left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1</w:t>
            </w:r>
          </w:p>
        </w:tc>
        <w:tc>
          <w:tcPr>
            <w:tcW w:w="3970"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Автобус от 40 до 50 посадочных мест </w:t>
            </w:r>
          </w:p>
        </w:tc>
        <w:tc>
          <w:tcPr>
            <w:tcW w:w="2968"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другие субъекты Российской Федерации </w:t>
            </w:r>
          </w:p>
        </w:tc>
        <w:tc>
          <w:tcPr>
            <w:tcW w:w="1709"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1200 </w:t>
            </w:r>
          </w:p>
        </w:tc>
      </w:tr>
      <w:tr>
        <w:trPr>
          <w:trHeight w:val="828" w:hRule="atLeast"/>
        </w:trPr>
        <w:tc>
          <w:tcPr>
            <w:tcW w:w="558" w:type="dxa"/>
            <w:tcBorders>
              <w:top w:val="single" w:sz="6" w:space="0" w:color="000000"/>
              <w:left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2</w:t>
            </w:r>
          </w:p>
        </w:tc>
        <w:tc>
          <w:tcPr>
            <w:tcW w:w="3970"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Автобус от 30 до 40 посадочных мест </w:t>
            </w:r>
          </w:p>
        </w:tc>
        <w:tc>
          <w:tcPr>
            <w:tcW w:w="2968"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другие субъекты Российской Федерации </w:t>
            </w:r>
          </w:p>
        </w:tc>
        <w:tc>
          <w:tcPr>
            <w:tcW w:w="1709"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800 </w:t>
            </w:r>
          </w:p>
        </w:tc>
      </w:tr>
      <w:tr>
        <w:trPr>
          <w:trHeight w:val="875" w:hRule="atLeast"/>
        </w:trPr>
        <w:tc>
          <w:tcPr>
            <w:tcW w:w="558" w:type="dxa"/>
            <w:tcBorders>
              <w:top w:val="single" w:sz="6" w:space="0" w:color="000000"/>
              <w:left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3</w:t>
            </w:r>
          </w:p>
        </w:tc>
        <w:tc>
          <w:tcPr>
            <w:tcW w:w="3970"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Микроавтобус (пассажирский) от 8 до 20 посадочных мест </w:t>
            </w:r>
          </w:p>
        </w:tc>
        <w:tc>
          <w:tcPr>
            <w:tcW w:w="2968"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другие субъекты Российской Федерации </w:t>
            </w:r>
          </w:p>
        </w:tc>
        <w:tc>
          <w:tcPr>
            <w:tcW w:w="1709"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550 </w:t>
            </w:r>
          </w:p>
        </w:tc>
      </w:tr>
      <w:tr>
        <w:trPr>
          <w:trHeight w:val="890" w:hRule="atLeast"/>
        </w:trPr>
        <w:tc>
          <w:tcPr>
            <w:tcW w:w="558" w:type="dxa"/>
            <w:tcBorders>
              <w:top w:val="single" w:sz="6" w:space="0" w:color="000000"/>
              <w:left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4</w:t>
            </w:r>
          </w:p>
        </w:tc>
        <w:tc>
          <w:tcPr>
            <w:tcW w:w="3970"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Легковой автомобиль, в том числе автомобиль сопровождения </w:t>
            </w:r>
          </w:p>
        </w:tc>
        <w:tc>
          <w:tcPr>
            <w:tcW w:w="2968"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другие субъекты Российской Федерации </w:t>
            </w:r>
          </w:p>
        </w:tc>
        <w:tc>
          <w:tcPr>
            <w:tcW w:w="1709" w:type="dxa"/>
            <w:tcBorders>
              <w:top w:val="single" w:sz="6" w:space="0" w:color="000000"/>
              <w:left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550 </w:t>
            </w:r>
          </w:p>
        </w:tc>
      </w:tr>
      <w:tr>
        <w:trPr>
          <w:trHeight w:val="833" w:hRule="atLeast"/>
        </w:trPr>
        <w:tc>
          <w:tcPr>
            <w:tcW w:w="558" w:type="dxa"/>
            <w:tcBorders>
              <w:top w:val="single" w:sz="6" w:space="0" w:color="000000"/>
              <w:left w:val="single" w:sz="6" w:space="0" w:color="000000"/>
              <w:bottom w:val="single" w:sz="6"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5</w:t>
            </w:r>
          </w:p>
        </w:tc>
        <w:tc>
          <w:tcPr>
            <w:tcW w:w="3970"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Грузовой автотранспорт (грузоподъемность до 1,5 тонны) </w:t>
            </w:r>
          </w:p>
        </w:tc>
        <w:tc>
          <w:tcPr>
            <w:tcW w:w="2968"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другие субъекты Российской Федерации </w:t>
            </w:r>
          </w:p>
        </w:tc>
        <w:tc>
          <w:tcPr>
            <w:tcW w:w="1709"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500 </w:t>
            </w:r>
          </w:p>
        </w:tc>
      </w:tr>
      <w:tr>
        <w:trPr>
          <w:trHeight w:val="707" w:hRule="atLeast"/>
        </w:trPr>
        <w:tc>
          <w:tcPr>
            <w:tcW w:w="558" w:type="dxa"/>
            <w:tcBorders>
              <w:top w:val="single" w:sz="6" w:space="0" w:color="000000"/>
              <w:left w:val="single" w:sz="6" w:space="0" w:color="000000"/>
              <w:bottom w:val="single" w:sz="4" w:space="0" w:color="000000"/>
              <w:right w:val="single" w:sz="6" w:space="0" w:color="000000"/>
            </w:tcBorders>
          </w:tcPr>
          <w:p>
            <w:pPr>
              <w:pStyle w:val="Normal"/>
              <w:jc w:val="center"/>
              <w:rPr>
                <w:rFonts w:eastAsia="Times New Roman"/>
                <w:bCs/>
                <w:kern w:val="0"/>
                <w:sz w:val="28"/>
                <w:szCs w:val="28"/>
                <w:lang w:bidi="ru-RU"/>
              </w:rPr>
            </w:pPr>
            <w:r>
              <w:rPr>
                <w:rFonts w:eastAsia="Times New Roman"/>
                <w:bCs/>
                <w:kern w:val="0"/>
                <w:sz w:val="28"/>
                <w:szCs w:val="28"/>
                <w:lang w:bidi="ru-RU"/>
              </w:rPr>
              <w:t>6</w:t>
            </w:r>
          </w:p>
        </w:tc>
        <w:tc>
          <w:tcPr>
            <w:tcW w:w="3970" w:type="dxa"/>
            <w:tcBorders>
              <w:top w:val="single" w:sz="6" w:space="0" w:color="000000"/>
              <w:left w:val="single" w:sz="6" w:space="0" w:color="000000"/>
              <w:bottom w:val="single" w:sz="4"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Грузовой автотранспорт (грузоподъемность от 1,5 до 3,5 тонны) </w:t>
            </w:r>
          </w:p>
        </w:tc>
        <w:tc>
          <w:tcPr>
            <w:tcW w:w="2968" w:type="dxa"/>
            <w:tcBorders>
              <w:top w:val="single" w:sz="6" w:space="0" w:color="000000"/>
              <w:left w:val="single" w:sz="6" w:space="0" w:color="000000"/>
              <w:bottom w:val="single" w:sz="4"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другие субъекты Российской Федерации </w:t>
            </w:r>
          </w:p>
        </w:tc>
        <w:tc>
          <w:tcPr>
            <w:tcW w:w="1709" w:type="dxa"/>
            <w:tcBorders>
              <w:top w:val="single" w:sz="6" w:space="0" w:color="000000"/>
              <w:left w:val="single" w:sz="6" w:space="0" w:color="000000"/>
              <w:bottom w:val="single" w:sz="4"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600 </w:t>
            </w:r>
          </w:p>
        </w:tc>
      </w:tr>
    </w:tbl>
    <w:p>
      <w:pPr>
        <w:pStyle w:val="Normal"/>
        <w:jc w:val="both"/>
        <w:rPr>
          <w:rFonts w:eastAsia="Times New Roman"/>
          <w:bCs/>
          <w:kern w:val="0"/>
          <w:sz w:val="28"/>
          <w:szCs w:val="28"/>
          <w:lang w:bidi="ru-RU"/>
        </w:rPr>
      </w:pPr>
      <w:r>
        <w:rPr>
          <w:rFonts w:eastAsia="Times New Roman"/>
          <w:bCs/>
          <w:kern w:val="0"/>
          <w:sz w:val="28"/>
          <w:szCs w:val="28"/>
          <w:lang w:bidi="ru-RU"/>
        </w:rPr>
      </w:r>
    </w:p>
    <w:p>
      <w:pPr>
        <w:pStyle w:val="Normal"/>
        <w:ind w:firstLine="709"/>
        <w:jc w:val="both"/>
        <w:rPr>
          <w:rFonts w:eastAsia="Times New Roman"/>
          <w:bCs/>
          <w:kern w:val="0"/>
          <w:sz w:val="28"/>
          <w:szCs w:val="28"/>
          <w:lang w:bidi="ru-RU"/>
        </w:rPr>
      </w:pPr>
      <w:r>
        <w:rPr>
          <w:rFonts w:eastAsia="Times New Roman"/>
          <w:bCs/>
          <w:kern w:val="0"/>
          <w:sz w:val="28"/>
          <w:szCs w:val="28"/>
          <w:lang w:bidi="ru-RU"/>
        </w:rPr>
        <w:t xml:space="preserve">Оплата услуг производится из расчета не более двенадцати часов в день при проведении всероссийских физкультурных мероприятий и всероссийских спортивных мероприятий и четырнадцати часов в день при проведении региональных, межрегиональных и международных физкультурных мероприятий и спортивных мероприятий, проводимых на территории Российской Федерации (в том числе значимых международных официальных физкультурных мероприятий и спортивных мероприятий) (в ред. </w:t>
      </w:r>
      <w:hyperlink r:id="rId3">
        <w:r>
          <w:rPr>
            <w:rFonts w:eastAsia="Times New Roman"/>
            <w:bCs/>
            <w:color w:val="auto"/>
            <w:kern w:val="0"/>
            <w:sz w:val="28"/>
            <w:szCs w:val="28"/>
            <w:u w:val="none"/>
            <w:lang w:bidi="ru-RU"/>
          </w:rPr>
          <w:t>Приказа</w:t>
        </w:r>
      </w:hyperlink>
      <w:r>
        <w:rPr>
          <w:rFonts w:eastAsia="Times New Roman"/>
          <w:bCs/>
          <w:kern w:val="0"/>
          <w:sz w:val="28"/>
          <w:szCs w:val="28"/>
          <w:lang w:bidi="ru-RU"/>
        </w:rPr>
        <w:t xml:space="preserve"> Минспорта России от 28.02.2022 № 147).</w:t>
      </w:r>
    </w:p>
    <w:p>
      <w:pPr>
        <w:pStyle w:val="Normal"/>
        <w:jc w:val="both"/>
        <w:rPr>
          <w:rFonts w:eastAsia="Times New Roman"/>
          <w:bCs/>
          <w:kern w:val="0"/>
          <w:sz w:val="28"/>
          <w:szCs w:val="28"/>
          <w:lang w:bidi="ru-RU"/>
        </w:rPr>
      </w:pPr>
      <w:r>
        <w:rPr>
          <w:rFonts w:eastAsia="Times New Roman"/>
          <w:bCs/>
          <w:kern w:val="0"/>
          <w:sz w:val="28"/>
          <w:szCs w:val="28"/>
          <w:lang w:bidi="ru-RU"/>
        </w:rPr>
      </w:r>
    </w:p>
    <w:p>
      <w:pPr>
        <w:pStyle w:val="Normal"/>
        <w:jc w:val="both"/>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7</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rFonts w:eastAsia="Times New Roman"/>
          <w:bCs/>
          <w:kern w:val="0"/>
          <w:sz w:val="28"/>
          <w:szCs w:val="28"/>
          <w:lang w:bidi="ru-RU"/>
        </w:rPr>
      </w:pPr>
      <w:r>
        <w:rPr>
          <w:rFonts w:eastAsia="Times New Roman"/>
          <w:bCs/>
          <w:kern w:val="0"/>
          <w:sz w:val="28"/>
          <w:szCs w:val="28"/>
          <w:lang w:bidi="ru-RU"/>
        </w:rPr>
      </w:r>
    </w:p>
    <w:p>
      <w:pPr>
        <w:pStyle w:val="Normal"/>
        <w:jc w:val="center"/>
        <w:rPr>
          <w:b/>
          <w:b/>
          <w:sz w:val="28"/>
          <w:szCs w:val="28"/>
        </w:rPr>
      </w:pPr>
      <w:r>
        <w:rPr>
          <w:b/>
          <w:sz w:val="28"/>
          <w:szCs w:val="28"/>
        </w:rPr>
        <w:t>Нормы оплаты услуг по предоставлению объектов спорта, включенных во Всероссийский реестр объектов спорта</w:t>
      </w:r>
    </w:p>
    <w:p>
      <w:pPr>
        <w:pStyle w:val="ConsPlusNormal"/>
        <w:jc w:val="both"/>
        <w:rPr>
          <w:sz w:val="22"/>
        </w:rPr>
      </w:pPr>
      <w:r>
        <w:rPr>
          <w:sz w:val="22"/>
        </w:rPr>
      </w:r>
    </w:p>
    <w:tbl>
      <w:tblPr>
        <w:tblW w:w="9071" w:type="dxa"/>
        <w:jc w:val="left"/>
        <w:tblInd w:w="0" w:type="dxa"/>
        <w:tblCellMar>
          <w:top w:w="102" w:type="dxa"/>
          <w:left w:w="62" w:type="dxa"/>
          <w:bottom w:w="102" w:type="dxa"/>
          <w:right w:w="62" w:type="dxa"/>
        </w:tblCellMar>
        <w:tblLook w:val="04a0" w:noHBand="0" w:noVBand="1" w:firstColumn="1" w:lastRow="0" w:lastColumn="0" w:firstRow="1"/>
      </w:tblPr>
      <w:tblGrid>
        <w:gridCol w:w="561"/>
        <w:gridCol w:w="6072"/>
        <w:gridCol w:w="2438"/>
      </w:tblGrid>
      <w:tr>
        <w:trPr/>
        <w:tc>
          <w:tcPr>
            <w:tcW w:w="561" w:type="dxa"/>
            <w:tcBorders>
              <w:top w:val="single" w:sz="4" w:space="0" w:color="000000"/>
              <w:left w:val="single" w:sz="4" w:space="0" w:color="000000"/>
              <w:bottom w:val="single" w:sz="4" w:space="0" w:color="000000"/>
              <w:right w:val="single" w:sz="4" w:space="0" w:color="000000"/>
            </w:tcBorders>
          </w:tcPr>
          <w:p>
            <w:pPr>
              <w:pStyle w:val="ConsPlusNormal"/>
              <w:spacing w:lineRule="auto" w:line="254"/>
              <w:jc w:val="center"/>
              <w:rPr>
                <w:sz w:val="28"/>
                <w:szCs w:val="28"/>
                <w:lang w:eastAsia="en-US"/>
              </w:rPr>
            </w:pPr>
            <w:r>
              <w:rPr>
                <w:sz w:val="28"/>
                <w:szCs w:val="28"/>
                <w:lang w:eastAsia="en-US"/>
              </w:rPr>
              <w:t xml:space="preserve">№ </w:t>
            </w:r>
            <w:r>
              <w:rPr>
                <w:sz w:val="28"/>
                <w:szCs w:val="28"/>
                <w:lang w:eastAsia="en-US"/>
              </w:rPr>
              <w:t>п/п</w:t>
            </w:r>
          </w:p>
        </w:tc>
        <w:tc>
          <w:tcPr>
            <w:tcW w:w="6072" w:type="dxa"/>
            <w:tcBorders>
              <w:top w:val="single" w:sz="4" w:space="0" w:color="000000"/>
              <w:left w:val="single" w:sz="4" w:space="0" w:color="000000"/>
              <w:bottom w:val="single" w:sz="4" w:space="0" w:color="000000"/>
              <w:right w:val="single" w:sz="4" w:space="0" w:color="000000"/>
            </w:tcBorders>
          </w:tcPr>
          <w:p>
            <w:pPr>
              <w:pStyle w:val="ConsPlusNormal"/>
              <w:spacing w:lineRule="auto" w:line="254"/>
              <w:jc w:val="center"/>
              <w:rPr>
                <w:sz w:val="28"/>
                <w:szCs w:val="28"/>
                <w:lang w:eastAsia="en-US"/>
              </w:rPr>
            </w:pPr>
            <w:r>
              <w:rPr>
                <w:sz w:val="28"/>
                <w:szCs w:val="28"/>
                <w:lang w:eastAsia="en-US"/>
              </w:rPr>
              <w:t>Тип объекта спорта</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spacing w:lineRule="auto" w:line="254"/>
              <w:jc w:val="center"/>
              <w:rPr>
                <w:sz w:val="28"/>
                <w:szCs w:val="28"/>
                <w:lang w:eastAsia="en-US"/>
              </w:rPr>
            </w:pPr>
            <w:r>
              <w:rPr>
                <w:sz w:val="28"/>
                <w:szCs w:val="28"/>
                <w:lang w:eastAsia="en-US"/>
              </w:rPr>
              <w:t>Стоимость услуг в час (в рублях)</w:t>
            </w:r>
          </w:p>
        </w:tc>
      </w:tr>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254"/>
              <w:jc w:val="center"/>
              <w:rPr>
                <w:sz w:val="28"/>
                <w:szCs w:val="28"/>
                <w:lang w:eastAsia="en-US"/>
              </w:rPr>
            </w:pPr>
            <w:r>
              <w:rPr>
                <w:sz w:val="28"/>
                <w:szCs w:val="28"/>
                <w:lang w:eastAsia="en-US"/>
              </w:rPr>
              <w:t>1.</w:t>
            </w:r>
          </w:p>
        </w:tc>
        <w:tc>
          <w:tcPr>
            <w:tcW w:w="607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254"/>
              <w:rPr>
                <w:sz w:val="28"/>
                <w:szCs w:val="28"/>
                <w:lang w:eastAsia="en-US"/>
              </w:rPr>
            </w:pPr>
            <w:r>
              <w:rPr>
                <w:sz w:val="28"/>
                <w:szCs w:val="28"/>
                <w:lang w:eastAsia="en-US"/>
              </w:rPr>
              <w:t>Объекты спорта крытого типа для проведения физкультурных и спортивных мероприятий по видам спорта</w:t>
            </w:r>
          </w:p>
        </w:tc>
        <w:tc>
          <w:tcPr>
            <w:tcW w:w="2438"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254"/>
              <w:jc w:val="center"/>
              <w:rPr>
                <w:sz w:val="28"/>
                <w:szCs w:val="28"/>
                <w:lang w:eastAsia="en-US"/>
              </w:rPr>
            </w:pPr>
            <w:r>
              <w:rPr>
                <w:sz w:val="28"/>
                <w:szCs w:val="28"/>
                <w:lang w:eastAsia="en-US"/>
              </w:rPr>
              <w:t>до 5000</w:t>
            </w:r>
          </w:p>
        </w:tc>
      </w:tr>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254"/>
              <w:jc w:val="center"/>
              <w:rPr>
                <w:sz w:val="28"/>
                <w:szCs w:val="28"/>
                <w:lang w:eastAsia="en-US"/>
              </w:rPr>
            </w:pPr>
            <w:r>
              <w:rPr>
                <w:sz w:val="28"/>
                <w:szCs w:val="28"/>
                <w:lang w:eastAsia="en-US"/>
              </w:rPr>
              <w:t>2.</w:t>
            </w:r>
          </w:p>
        </w:tc>
        <w:tc>
          <w:tcPr>
            <w:tcW w:w="6072"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254"/>
              <w:rPr>
                <w:sz w:val="28"/>
                <w:szCs w:val="28"/>
                <w:lang w:eastAsia="en-US"/>
              </w:rPr>
            </w:pPr>
            <w:r>
              <w:rPr>
                <w:sz w:val="28"/>
                <w:szCs w:val="28"/>
                <w:lang w:eastAsia="en-US"/>
              </w:rPr>
              <w:t>Объекты спорта открытого типа для проведения физкультурных и спортивных мероприятий по видам спорта</w:t>
            </w:r>
          </w:p>
        </w:tc>
        <w:tc>
          <w:tcPr>
            <w:tcW w:w="2438"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254"/>
              <w:jc w:val="center"/>
              <w:rPr>
                <w:sz w:val="28"/>
                <w:szCs w:val="28"/>
                <w:lang w:eastAsia="en-US"/>
              </w:rPr>
            </w:pPr>
            <w:r>
              <w:rPr>
                <w:sz w:val="28"/>
                <w:szCs w:val="28"/>
                <w:lang w:eastAsia="en-US"/>
              </w:rPr>
              <w:t>до 15000</w:t>
            </w:r>
          </w:p>
        </w:tc>
      </w:tr>
    </w:tbl>
    <w:p>
      <w:pPr>
        <w:pStyle w:val="Normal"/>
        <w:jc w:val="both"/>
        <w:rPr>
          <w:rFonts w:eastAsia="Times New Roman"/>
          <w:bCs/>
          <w:kern w:val="0"/>
          <w:sz w:val="28"/>
          <w:szCs w:val="28"/>
          <w:lang w:bidi="ru-RU"/>
        </w:rPr>
      </w:pPr>
      <w:r>
        <w:rPr>
          <w:rFonts w:eastAsia="Times New Roman"/>
          <w:bCs/>
          <w:kern w:val="0"/>
          <w:sz w:val="28"/>
          <w:szCs w:val="28"/>
          <w:lang w:bidi="ru-RU"/>
        </w:rPr>
      </w:r>
    </w:p>
    <w:p>
      <w:pPr>
        <w:pStyle w:val="Normal"/>
        <w:ind w:firstLine="709"/>
        <w:jc w:val="both"/>
        <w:rPr>
          <w:rFonts w:eastAsia="Times New Roman"/>
          <w:bCs/>
          <w:kern w:val="0"/>
          <w:sz w:val="28"/>
          <w:szCs w:val="28"/>
          <w:lang w:bidi="ru-RU"/>
        </w:rPr>
      </w:pPr>
      <w:r>
        <w:rPr>
          <w:rFonts w:eastAsia="Times New Roman"/>
          <w:bCs/>
          <w:kern w:val="0"/>
          <w:sz w:val="28"/>
          <w:szCs w:val="28"/>
          <w:lang w:bidi="ru-RU"/>
        </w:rPr>
        <w:t xml:space="preserve">Оплата услуг производится из расчета не более двенадцати часов в день при проведении всероссийских физкультурных и спортивных мероприятий и четырнадцати часов в день при проведении региональных, межрегиональных и международных физкультурных мероприятий и спортивных мероприятий, проводимых на территории Российской Федерации (в том числе значимых международных официальных физкультурных мероприятий и спортивных мероприятий) (в ред. </w:t>
      </w:r>
      <w:hyperlink r:id="rId4">
        <w:r>
          <w:rPr>
            <w:rFonts w:eastAsia="Times New Roman"/>
            <w:bCs/>
            <w:color w:val="auto"/>
            <w:kern w:val="0"/>
            <w:sz w:val="28"/>
            <w:szCs w:val="28"/>
            <w:u w:val="none"/>
            <w:lang w:bidi="ru-RU"/>
          </w:rPr>
          <w:t>Приказа</w:t>
        </w:r>
      </w:hyperlink>
      <w:r>
        <w:rPr>
          <w:rFonts w:eastAsia="Times New Roman"/>
          <w:bCs/>
          <w:kern w:val="0"/>
          <w:sz w:val="28"/>
          <w:szCs w:val="28"/>
          <w:lang w:bidi="ru-RU"/>
        </w:rPr>
        <w:t xml:space="preserve"> Минспорта России от 28.02.2022 № 147).</w:t>
      </w:r>
    </w:p>
    <w:p>
      <w:pPr>
        <w:pStyle w:val="Normal"/>
        <w:jc w:val="both"/>
        <w:rPr>
          <w:rFonts w:eastAsia="Times New Roman"/>
          <w:bCs/>
          <w:kern w:val="0"/>
          <w:sz w:val="28"/>
          <w:szCs w:val="28"/>
          <w:lang w:bidi="ru-RU"/>
        </w:rPr>
      </w:pPr>
      <w:r>
        <w:rPr>
          <w:rFonts w:eastAsia="Times New Roman"/>
          <w:bCs/>
          <w:kern w:val="0"/>
          <w:sz w:val="28"/>
          <w:szCs w:val="28"/>
          <w:lang w:bidi="ru-RU"/>
        </w:rPr>
      </w:r>
      <w:r>
        <w:br w:type="page"/>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8</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rFonts w:eastAsia="Times New Roman"/>
          <w:bCs/>
          <w:kern w:val="0"/>
          <w:sz w:val="28"/>
          <w:szCs w:val="28"/>
          <w:lang w:bidi="ru-RU"/>
        </w:rPr>
      </w:pPr>
      <w:r>
        <w:rPr>
          <w:rFonts w:eastAsia="Times New Roman"/>
          <w:bCs/>
          <w:kern w:val="0"/>
          <w:sz w:val="28"/>
          <w:szCs w:val="28"/>
          <w:lang w:bidi="ru-RU"/>
        </w:rPr>
      </w:r>
    </w:p>
    <w:p>
      <w:pPr>
        <w:pStyle w:val="Normal"/>
        <w:jc w:val="center"/>
        <w:rPr>
          <w:rFonts w:eastAsia="Times New Roman"/>
          <w:b/>
          <w:b/>
          <w:bCs/>
          <w:kern w:val="0"/>
          <w:sz w:val="28"/>
          <w:szCs w:val="28"/>
          <w:lang w:bidi="ru-RU"/>
        </w:rPr>
      </w:pPr>
      <w:r>
        <w:rPr>
          <w:b/>
          <w:sz w:val="28"/>
          <w:szCs w:val="28"/>
        </w:rPr>
        <w:t>Нормы оплаты услуг по подготовке мест проведения физкультурных мероприятий и спортивных мероприятий</w:t>
      </w:r>
    </w:p>
    <w:p>
      <w:pPr>
        <w:pStyle w:val="Normal"/>
        <w:rPr>
          <w:rFonts w:eastAsia="Times New Roman"/>
          <w:bCs/>
          <w:kern w:val="0"/>
          <w:sz w:val="28"/>
          <w:szCs w:val="28"/>
          <w:lang w:bidi="ru-RU"/>
        </w:rPr>
      </w:pPr>
      <w:r>
        <w:rPr>
          <w:rFonts w:eastAsia="Times New Roman"/>
          <w:bCs/>
          <w:kern w:val="0"/>
          <w:sz w:val="28"/>
          <w:szCs w:val="28"/>
          <w:lang w:bidi="ru-RU"/>
        </w:rPr>
      </w:r>
    </w:p>
    <w:tbl>
      <w:tblPr>
        <w:tblW w:w="9206" w:type="dxa"/>
        <w:jc w:val="center"/>
        <w:tblInd w:w="0" w:type="dxa"/>
        <w:tblCellMar>
          <w:top w:w="0" w:type="dxa"/>
          <w:left w:w="7" w:type="dxa"/>
          <w:bottom w:w="0" w:type="dxa"/>
          <w:right w:w="7" w:type="dxa"/>
        </w:tblCellMar>
        <w:tblLook w:val="0000" w:noHBand="0" w:noVBand="0" w:firstColumn="0" w:lastRow="0" w:lastColumn="0" w:firstRow="0"/>
      </w:tblPr>
      <w:tblGrid>
        <w:gridCol w:w="4527"/>
        <w:gridCol w:w="2110"/>
        <w:gridCol w:w="2569"/>
      </w:tblGrid>
      <w:tr>
        <w:trPr/>
        <w:tc>
          <w:tcPr>
            <w:tcW w:w="4527"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Наименование</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услуг в день (в рублях)</w:t>
            </w:r>
          </w:p>
        </w:tc>
        <w:tc>
          <w:tcPr>
            <w:tcW w:w="2569"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Количество рабочих дней</w:t>
            </w:r>
          </w:p>
        </w:tc>
      </w:tr>
      <w:tr>
        <w:trPr/>
        <w:tc>
          <w:tcPr>
            <w:tcW w:w="9206" w:type="dxa"/>
            <w:gridSpan w:val="3"/>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Зимние виды спорта (спортивные дисциплины)</w:t>
            </w:r>
          </w:p>
        </w:tc>
      </w:tr>
      <w:tr>
        <w:trPr/>
        <w:tc>
          <w:tcPr>
            <w:tcW w:w="4527"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Подготовка дистанции (трассы) для проведения физкультурных мероприятий и спортивных соревнований по видам спорта "спортивное ориентирование" (спортивные дисциплины, содержащие в своем наименовании слова "лыжная гонка"), "триатлон" (триатлон - зимний и другие) </w:t>
            </w:r>
          </w:p>
        </w:tc>
        <w:tc>
          <w:tcPr>
            <w:tcW w:w="2110"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8000 </w:t>
            </w:r>
          </w:p>
        </w:tc>
        <w:tc>
          <w:tcPr>
            <w:tcW w:w="2569"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4 </w:t>
            </w:r>
          </w:p>
        </w:tc>
      </w:tr>
      <w:tr>
        <w:trPr/>
        <w:tc>
          <w:tcPr>
            <w:tcW w:w="9206" w:type="dxa"/>
            <w:gridSpan w:val="3"/>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Летние виды спорта (спортивные дисциплины)</w:t>
            </w:r>
          </w:p>
        </w:tc>
      </w:tr>
      <w:tr>
        <w:trPr/>
        <w:tc>
          <w:tcPr>
            <w:tcW w:w="4527"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Подготовка дистанции для проведения физкультурных мероприятий и спортивных соревнований по видам спорта "спортивное ориентирование" (спортивные дисциплины, содержащие в своем наименовании слова "спринт", "классика", "кросс", "марафон", "эстафета"), "триатлон" (спортивные дисциплины, содержащие в своем наименовании слово "триатлон").</w:t>
            </w:r>
          </w:p>
        </w:tc>
        <w:tc>
          <w:tcPr>
            <w:tcW w:w="2110"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5500 </w:t>
            </w:r>
          </w:p>
        </w:tc>
        <w:tc>
          <w:tcPr>
            <w:tcW w:w="2569"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 xml:space="preserve">до 4 </w:t>
            </w:r>
          </w:p>
        </w:tc>
      </w:tr>
    </w:tbl>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9</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rFonts w:eastAsia="Times New Roman"/>
          <w:bCs/>
          <w:kern w:val="0"/>
          <w:sz w:val="28"/>
          <w:szCs w:val="28"/>
          <w:lang w:bidi="ru-RU"/>
        </w:rPr>
      </w:pPr>
      <w:r>
        <w:rPr>
          <w:rFonts w:eastAsia="Times New Roman"/>
          <w:bCs/>
          <w:kern w:val="0"/>
          <w:sz w:val="28"/>
          <w:szCs w:val="28"/>
          <w:lang w:bidi="ru-RU"/>
        </w:rPr>
      </w:r>
    </w:p>
    <w:p>
      <w:pPr>
        <w:pStyle w:val="Normal"/>
        <w:jc w:val="center"/>
        <w:rPr>
          <w:rFonts w:eastAsia="Times New Roman"/>
          <w:b/>
          <w:b/>
          <w:bCs/>
          <w:kern w:val="0"/>
          <w:sz w:val="28"/>
          <w:szCs w:val="28"/>
          <w:lang w:bidi="ru-RU"/>
        </w:rPr>
      </w:pPr>
      <w:r>
        <w:rPr>
          <w:b/>
          <w:sz w:val="28"/>
          <w:szCs w:val="28"/>
        </w:rPr>
        <w:t>Нормы оплаты услуг по информационно-техническому обеспечению физкультурных мероприятий и спортивных мероприятий</w:t>
      </w:r>
    </w:p>
    <w:p>
      <w:pPr>
        <w:pStyle w:val="Normal"/>
        <w:rPr>
          <w:rFonts w:eastAsia="Times New Roman"/>
          <w:bCs/>
          <w:kern w:val="0"/>
          <w:sz w:val="28"/>
          <w:szCs w:val="28"/>
          <w:lang w:bidi="ru-RU"/>
        </w:rPr>
      </w:pPr>
      <w:r>
        <w:rPr>
          <w:rFonts w:eastAsia="Times New Roman"/>
          <w:bCs/>
          <w:kern w:val="0"/>
          <w:sz w:val="28"/>
          <w:szCs w:val="28"/>
          <w:lang w:bidi="ru-RU"/>
        </w:rPr>
      </w:r>
    </w:p>
    <w:tbl>
      <w:tblPr>
        <w:tblW w:w="9206" w:type="dxa"/>
        <w:jc w:val="center"/>
        <w:tblInd w:w="0" w:type="dxa"/>
        <w:tblCellMar>
          <w:top w:w="0" w:type="dxa"/>
          <w:left w:w="7" w:type="dxa"/>
          <w:bottom w:w="0" w:type="dxa"/>
          <w:right w:w="7" w:type="dxa"/>
        </w:tblCellMar>
        <w:tblLook w:val="0000" w:noHBand="0" w:noVBand="0" w:firstColumn="0" w:lastRow="0" w:lastColumn="0" w:firstRow="0"/>
      </w:tblPr>
      <w:tblGrid>
        <w:gridCol w:w="4811"/>
        <w:gridCol w:w="4394"/>
      </w:tblGrid>
      <w:tr>
        <w:trPr/>
        <w:tc>
          <w:tcPr>
            <w:tcW w:w="4811"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Категория мероприятий</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услуг из расчета одного дня соревнований (в рублях)</w:t>
            </w:r>
          </w:p>
        </w:tc>
      </w:tr>
      <w:tr>
        <w:trPr/>
        <w:tc>
          <w:tcPr>
            <w:tcW w:w="4811"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Региональные, межрегиональные, всероссийские физкультурные мероприятия и спортивные соревнования</w:t>
            </w:r>
          </w:p>
        </w:tc>
        <w:tc>
          <w:tcPr>
            <w:tcW w:w="4394"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300</w:t>
            </w:r>
          </w:p>
        </w:tc>
      </w:tr>
      <w:tr>
        <w:trPr/>
        <w:tc>
          <w:tcPr>
            <w:tcW w:w="4811"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Спортивные соревнования, проводимые на территории Российской Федерации, в том числе: Всероссийская массовая лыжная гонка "Лыжня России", Всероссийские массовые соревнования по спортивному ориентированию "Российский Азимут", Всероссийские массовые соревнования по баскетболу "Оранжевый мяч", Всероссийский день бега "Кросс наций", Всероссийский день физкультурника, Всероссийские спартакиады среди обучающихся, молодежи, лиц с ограниченными возможностями, сильнейших спортсменов без ограничения верхней границы возраста, Всероссийские универсиады.</w:t>
            </w:r>
          </w:p>
        </w:tc>
        <w:tc>
          <w:tcPr>
            <w:tcW w:w="4394"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3 500</w:t>
            </w:r>
          </w:p>
        </w:tc>
      </w:tr>
    </w:tbl>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10</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rFonts w:eastAsia="Times New Roman"/>
          <w:bCs/>
          <w:kern w:val="0"/>
          <w:sz w:val="28"/>
          <w:szCs w:val="28"/>
          <w:lang w:bidi="ru-RU"/>
        </w:rPr>
      </w:pPr>
      <w:r>
        <w:rPr>
          <w:rFonts w:eastAsia="Times New Roman"/>
          <w:bCs/>
          <w:kern w:val="0"/>
          <w:sz w:val="28"/>
          <w:szCs w:val="28"/>
          <w:lang w:bidi="ru-RU"/>
        </w:rPr>
      </w:r>
    </w:p>
    <w:p>
      <w:pPr>
        <w:pStyle w:val="Normal"/>
        <w:jc w:val="center"/>
        <w:rPr>
          <w:b/>
          <w:b/>
          <w:sz w:val="28"/>
          <w:szCs w:val="28"/>
        </w:rPr>
      </w:pPr>
      <w:r>
        <w:rPr>
          <w:b/>
          <w:sz w:val="28"/>
          <w:szCs w:val="28"/>
        </w:rPr>
        <w:t>Нормы оплаты аккредитации участников спортивных мероприятий</w:t>
      </w:r>
    </w:p>
    <w:p>
      <w:pPr>
        <w:pStyle w:val="Normal"/>
        <w:jc w:val="center"/>
        <w:rPr>
          <w:rFonts w:eastAsia="Times New Roman"/>
          <w:b/>
          <w:b/>
          <w:bCs/>
          <w:kern w:val="0"/>
          <w:sz w:val="28"/>
          <w:szCs w:val="28"/>
          <w:lang w:bidi="ru-RU"/>
        </w:rPr>
      </w:pPr>
      <w:r>
        <w:rPr>
          <w:rFonts w:eastAsia="Times New Roman"/>
          <w:b/>
          <w:bCs/>
          <w:kern w:val="0"/>
          <w:sz w:val="28"/>
          <w:szCs w:val="28"/>
          <w:lang w:bidi="ru-RU"/>
        </w:rPr>
      </w:r>
    </w:p>
    <w:tbl>
      <w:tblPr>
        <w:tblW w:w="9064" w:type="dxa"/>
        <w:jc w:val="center"/>
        <w:tblInd w:w="0" w:type="dxa"/>
        <w:tblCellMar>
          <w:top w:w="0" w:type="dxa"/>
          <w:left w:w="7" w:type="dxa"/>
          <w:bottom w:w="0" w:type="dxa"/>
          <w:right w:w="7" w:type="dxa"/>
        </w:tblCellMar>
        <w:tblLook w:val="0000" w:noHBand="0" w:noVBand="0" w:firstColumn="0" w:lastRow="0" w:lastColumn="0" w:firstRow="0"/>
      </w:tblPr>
      <w:tblGrid>
        <w:gridCol w:w="5266"/>
        <w:gridCol w:w="3797"/>
      </w:tblGrid>
      <w:tr>
        <w:trPr/>
        <w:tc>
          <w:tcPr>
            <w:tcW w:w="5266"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Категория мероприятий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аккредитации на одного человека (в рублях)</w:t>
            </w:r>
          </w:p>
        </w:tc>
      </w:tr>
      <w:tr>
        <w:trPr/>
        <w:tc>
          <w:tcPr>
            <w:tcW w:w="526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Региональные, межрегиональные всероссийские спартакиады среди обучающихся, молодежи, лиц с ограниченными возможностями здоровья, сильнейших спортсменов без ограничения верхней границы возраста, региональные, межрегиональные, всероссийские универсиады, международные спортивные соревнования, проводимые на территории Российской Федерации</w:t>
            </w:r>
          </w:p>
        </w:tc>
        <w:tc>
          <w:tcPr>
            <w:tcW w:w="3797"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350</w:t>
            </w:r>
          </w:p>
        </w:tc>
      </w:tr>
    </w:tbl>
    <w:p>
      <w:pPr>
        <w:pStyle w:val="Normal"/>
        <w:rPr>
          <w:rFonts w:eastAsia="Times New Roman"/>
          <w:bCs/>
          <w:kern w:val="0"/>
          <w:sz w:val="28"/>
          <w:szCs w:val="28"/>
          <w:lang w:bidi="ru-RU"/>
        </w:rPr>
      </w:pPr>
      <w:r>
        <w:rPr>
          <w:rFonts w:eastAsia="Times New Roman"/>
          <w:bCs/>
          <w:kern w:val="0"/>
          <w:sz w:val="28"/>
          <w:szCs w:val="28"/>
          <w:lang w:bidi="ru-RU"/>
        </w:rPr>
      </w:r>
    </w:p>
    <w:p>
      <w:pPr>
        <w:pStyle w:val="Normal"/>
        <w:rPr>
          <w:rFonts w:eastAsia="Times New Roman"/>
          <w:bCs/>
          <w:kern w:val="0"/>
          <w:sz w:val="28"/>
          <w:szCs w:val="28"/>
          <w:lang w:bidi="ru-RU"/>
        </w:rPr>
      </w:pPr>
      <w:r>
        <w:rPr>
          <w:rFonts w:eastAsia="Times New Roman"/>
          <w:bCs/>
          <w:kern w:val="0"/>
          <w:sz w:val="28"/>
          <w:szCs w:val="28"/>
          <w:lang w:bidi="ru-RU"/>
        </w:rPr>
      </w:r>
      <w:r>
        <w:br w:type="page"/>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11</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p>
    <w:p>
      <w:pPr>
        <w:pStyle w:val="Normal"/>
        <w:rPr>
          <w:rFonts w:eastAsia="Times New Roman"/>
          <w:bCs/>
          <w:kern w:val="0"/>
          <w:sz w:val="28"/>
          <w:szCs w:val="28"/>
          <w:lang w:bidi="ru-RU"/>
        </w:rPr>
      </w:pPr>
      <w:r>
        <w:rPr>
          <w:rFonts w:eastAsia="Times New Roman"/>
          <w:bCs/>
          <w:kern w:val="0"/>
          <w:sz w:val="28"/>
          <w:szCs w:val="28"/>
          <w:lang w:bidi="ru-RU"/>
        </w:rPr>
        <w:t xml:space="preserve"> </w:t>
      </w:r>
    </w:p>
    <w:p>
      <w:pPr>
        <w:pStyle w:val="Normal"/>
        <w:jc w:val="center"/>
        <w:rPr>
          <w:rFonts w:eastAsia="Times New Roman"/>
          <w:b/>
          <w:b/>
          <w:bCs/>
          <w:kern w:val="0"/>
          <w:sz w:val="28"/>
          <w:szCs w:val="28"/>
          <w:lang w:bidi="ru-RU"/>
        </w:rPr>
      </w:pPr>
      <w:r>
        <w:rPr>
          <w:b/>
          <w:sz w:val="28"/>
          <w:szCs w:val="28"/>
        </w:rPr>
        <w:t xml:space="preserve">Нормы оплаты услуг по обеспечению безопасности в местах проведения физкультурных мероприятий и спортивных мероприятий </w:t>
      </w:r>
    </w:p>
    <w:p>
      <w:pPr>
        <w:pStyle w:val="Normal"/>
        <w:jc w:val="center"/>
        <w:rPr>
          <w:rFonts w:eastAsia="Times New Roman"/>
          <w:bCs/>
          <w:kern w:val="0"/>
          <w:sz w:val="28"/>
          <w:szCs w:val="28"/>
          <w:lang w:bidi="ru-RU"/>
        </w:rPr>
      </w:pPr>
      <w:r>
        <w:rPr>
          <w:rFonts w:eastAsia="Times New Roman"/>
          <w:bCs/>
          <w:kern w:val="0"/>
          <w:sz w:val="28"/>
          <w:szCs w:val="28"/>
          <w:lang w:bidi="ru-RU"/>
        </w:rPr>
      </w:r>
    </w:p>
    <w:tbl>
      <w:tblPr>
        <w:tblW w:w="9292" w:type="dxa"/>
        <w:jc w:val="center"/>
        <w:tblInd w:w="0" w:type="dxa"/>
        <w:tblCellMar>
          <w:top w:w="0" w:type="dxa"/>
          <w:left w:w="7" w:type="dxa"/>
          <w:bottom w:w="0" w:type="dxa"/>
          <w:right w:w="7" w:type="dxa"/>
        </w:tblCellMar>
        <w:tblLook w:val="0000" w:noHBand="0" w:noVBand="0" w:firstColumn="0" w:lastRow="0" w:lastColumn="0" w:firstRow="0"/>
      </w:tblPr>
      <w:tblGrid>
        <w:gridCol w:w="5766"/>
        <w:gridCol w:w="3525"/>
      </w:tblGrid>
      <w:tr>
        <w:trPr/>
        <w:tc>
          <w:tcPr>
            <w:tcW w:w="5766"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Место проведения</w:t>
            </w:r>
          </w:p>
        </w:tc>
        <w:tc>
          <w:tcPr>
            <w:tcW w:w="3525" w:type="dxa"/>
            <w:tcBorders>
              <w:top w:val="single" w:sz="6" w:space="0" w:color="000000"/>
              <w:left w:val="single" w:sz="6" w:space="0" w:color="000000"/>
              <w:bottom w:val="single" w:sz="6" w:space="0" w:color="000000"/>
              <w:right w:val="single" w:sz="6" w:space="0" w:color="000000"/>
            </w:tcBorders>
            <w:vAlign w:val="center"/>
          </w:tcPr>
          <w:p>
            <w:pPr>
              <w:pStyle w:val="Normal"/>
              <w:rPr>
                <w:rFonts w:eastAsia="Times New Roman"/>
                <w:bCs/>
                <w:kern w:val="0"/>
                <w:sz w:val="28"/>
                <w:szCs w:val="28"/>
                <w:lang w:bidi="ru-RU"/>
              </w:rPr>
            </w:pPr>
            <w:r>
              <w:rPr>
                <w:rFonts w:eastAsia="Times New Roman"/>
                <w:bCs/>
                <w:kern w:val="0"/>
                <w:sz w:val="28"/>
                <w:szCs w:val="28"/>
                <w:lang w:bidi="ru-RU"/>
              </w:rPr>
              <w:t>Стоимость услуг в час одного сотрудника охранного предприятия (в рублях)</w:t>
            </w:r>
          </w:p>
        </w:tc>
      </w:tr>
      <w:tr>
        <w:trPr>
          <w:trHeight w:val="596" w:hRule="atLeast"/>
        </w:trPr>
        <w:tc>
          <w:tcPr>
            <w:tcW w:w="5766"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Другие субъекты Российской Федерации</w:t>
            </w:r>
          </w:p>
        </w:tc>
        <w:tc>
          <w:tcPr>
            <w:tcW w:w="3525" w:type="dxa"/>
            <w:tcBorders>
              <w:top w:val="single" w:sz="6" w:space="0" w:color="000000"/>
              <w:left w:val="single" w:sz="6" w:space="0" w:color="000000"/>
              <w:bottom w:val="single" w:sz="6" w:space="0" w:color="000000"/>
              <w:right w:val="single" w:sz="6" w:space="0" w:color="000000"/>
            </w:tcBorders>
          </w:tcPr>
          <w:p>
            <w:pPr>
              <w:pStyle w:val="Normal"/>
              <w:rPr>
                <w:rFonts w:eastAsia="Times New Roman"/>
                <w:bCs/>
                <w:kern w:val="0"/>
                <w:sz w:val="28"/>
                <w:szCs w:val="28"/>
                <w:lang w:bidi="ru-RU"/>
              </w:rPr>
            </w:pPr>
            <w:r>
              <w:rPr>
                <w:rFonts w:eastAsia="Times New Roman"/>
                <w:bCs/>
                <w:kern w:val="0"/>
                <w:sz w:val="28"/>
                <w:szCs w:val="28"/>
                <w:lang w:bidi="ru-RU"/>
              </w:rPr>
              <w:t>до 350</w:t>
            </w:r>
          </w:p>
        </w:tc>
      </w:tr>
    </w:tbl>
    <w:p>
      <w:pPr>
        <w:pStyle w:val="Normal"/>
        <w:rPr>
          <w:rFonts w:eastAsia="Times New Roman"/>
          <w:bCs/>
          <w:kern w:val="0"/>
          <w:sz w:val="28"/>
          <w:szCs w:val="28"/>
          <w:lang w:bidi="ru-RU"/>
        </w:rPr>
      </w:pPr>
      <w:r>
        <w:rPr>
          <w:rFonts w:eastAsia="Times New Roman"/>
          <w:bCs/>
          <w:kern w:val="0"/>
          <w:sz w:val="28"/>
          <w:szCs w:val="28"/>
          <w:lang w:bidi="ru-RU"/>
        </w:rPr>
      </w:r>
    </w:p>
    <w:p>
      <w:pPr>
        <w:pStyle w:val="Normal"/>
        <w:suppressAutoHyphens w:val="false"/>
        <w:ind w:firstLine="540"/>
        <w:jc w:val="both"/>
        <w:rPr>
          <w:rFonts w:eastAsia="Times New Roman"/>
          <w:kern w:val="0"/>
          <w:sz w:val="28"/>
          <w:szCs w:val="28"/>
        </w:rPr>
      </w:pPr>
      <w:r>
        <w:rPr>
          <w:rFonts w:eastAsia="Times New Roman"/>
          <w:kern w:val="0"/>
          <w:sz w:val="28"/>
          <w:szCs w:val="28"/>
        </w:rPr>
        <w:t xml:space="preserve">Оплата услуг производится исходя из расчета не более двенадцати часов в день при проведении региональных, межрегиональных и всероссийских физкультурных мероприятий и всероссийских спортивных мероприятий и четырнадцати часов в день при проведении международных физкультурных мероприятий и спортивных мероприятий, проводимых на территории Российской Федерации (в том числе значимых международных официальных физкультурных мероприятий и спортивных мероприятий) (в ред. </w:t>
      </w:r>
      <w:hyperlink r:id="rId5">
        <w:r>
          <w:rPr>
            <w:rFonts w:eastAsia="Times New Roman"/>
            <w:color w:val="auto"/>
            <w:kern w:val="0"/>
            <w:sz w:val="28"/>
            <w:szCs w:val="28"/>
            <w:u w:val="none"/>
          </w:rPr>
          <w:t>Приказа</w:t>
        </w:r>
      </w:hyperlink>
      <w:r>
        <w:rPr>
          <w:rFonts w:eastAsia="Times New Roman"/>
          <w:kern w:val="0"/>
          <w:sz w:val="28"/>
          <w:szCs w:val="28"/>
        </w:rPr>
        <w:t xml:space="preserve"> Минспорта России от 28.02.2022 № 147)</w:t>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ind w:firstLine="540"/>
        <w:jc w:val="both"/>
        <w:rPr>
          <w:rFonts w:eastAsia="Times New Roman"/>
          <w:kern w:val="0"/>
          <w:sz w:val="28"/>
          <w:szCs w:val="28"/>
        </w:rPr>
      </w:pPr>
      <w:r>
        <w:rPr>
          <w:rFonts w:eastAsia="Times New Roman"/>
          <w:kern w:val="0"/>
          <w:sz w:val="28"/>
          <w:szCs w:val="28"/>
        </w:rPr>
      </w:r>
    </w:p>
    <w:p>
      <w:pPr>
        <w:pStyle w:val="Normal"/>
        <w:suppressAutoHyphens w:val="false"/>
        <w:jc w:val="both"/>
        <w:rPr>
          <w:rFonts w:eastAsia="Times New Roman"/>
          <w:kern w:val="0"/>
          <w:sz w:val="28"/>
          <w:szCs w:val="28"/>
        </w:rPr>
      </w:pPr>
      <w:r>
        <w:rPr>
          <w:rFonts w:eastAsia="Times New Roman"/>
          <w:kern w:val="0"/>
          <w:sz w:val="28"/>
          <w:szCs w:val="28"/>
        </w:rPr>
      </w:r>
    </w:p>
    <w:p>
      <w:pPr>
        <w:pStyle w:val="Normal"/>
        <w:suppressAutoHyphens w:val="false"/>
        <w:jc w:val="both"/>
        <w:rPr>
          <w:rFonts w:eastAsia="Times New Roman"/>
          <w:kern w:val="0"/>
          <w:sz w:val="28"/>
          <w:szCs w:val="28"/>
        </w:rPr>
      </w:pPr>
      <w:r>
        <w:rPr>
          <w:rFonts w:eastAsia="Times New Roman"/>
          <w:kern w:val="0"/>
          <w:sz w:val="28"/>
          <w:szCs w:val="28"/>
        </w:rPr>
      </w:r>
    </w:p>
    <w:p>
      <w:pPr>
        <w:pStyle w:val="Normal"/>
        <w:ind w:left="5245" w:hanging="0"/>
        <w:rPr>
          <w:rFonts w:eastAsia="Times New Roman"/>
          <w:bCs/>
          <w:kern w:val="0"/>
          <w:sz w:val="28"/>
          <w:szCs w:val="28"/>
          <w:lang w:bidi="ru-RU"/>
        </w:rPr>
      </w:pPr>
      <w:r>
        <w:rPr>
          <w:rFonts w:eastAsia="Times New Roman"/>
          <w:bCs/>
          <w:kern w:val="0"/>
          <w:sz w:val="28"/>
          <w:szCs w:val="28"/>
          <w:lang w:bidi="ru-RU"/>
        </w:rPr>
        <w:t>Приложение № 12</w:t>
      </w:r>
    </w:p>
    <w:p>
      <w:pPr>
        <w:pStyle w:val="Normal"/>
        <w:ind w:left="5245" w:hanging="0"/>
        <w:rPr>
          <w:rFonts w:eastAsia="Times New Roman"/>
          <w:bCs/>
          <w:kern w:val="0"/>
          <w:sz w:val="28"/>
          <w:szCs w:val="28"/>
          <w:lang w:bidi="ru-RU"/>
        </w:rPr>
      </w:pPr>
      <w:r>
        <w:rPr>
          <w:rFonts w:eastAsia="Times New Roman"/>
          <w:bCs/>
          <w:kern w:val="0"/>
          <w:sz w:val="28"/>
          <w:szCs w:val="28"/>
          <w:lang w:bidi="ru-RU"/>
        </w:rPr>
        <w:t>к постановлению Администрации</w:t>
      </w:r>
    </w:p>
    <w:p>
      <w:pPr>
        <w:pStyle w:val="Normal"/>
        <w:ind w:left="5245" w:hanging="0"/>
        <w:rPr>
          <w:rFonts w:eastAsia="Times New Roman"/>
          <w:bCs/>
          <w:kern w:val="0"/>
          <w:sz w:val="28"/>
          <w:szCs w:val="28"/>
          <w:lang w:bidi="ru-RU"/>
        </w:rPr>
      </w:pPr>
      <w:r>
        <w:rPr>
          <w:rFonts w:eastAsia="Times New Roman"/>
          <w:bCs/>
          <w:kern w:val="0"/>
          <w:sz w:val="28"/>
          <w:szCs w:val="28"/>
          <w:lang w:bidi="ru-RU"/>
        </w:rPr>
        <w:t>города Шарыпово</w:t>
      </w:r>
    </w:p>
    <w:p>
      <w:pPr>
        <w:pStyle w:val="Normal"/>
        <w:ind w:left="5245" w:hanging="0"/>
        <w:rPr>
          <w:rFonts w:eastAsia="Times New Roman"/>
          <w:bCs/>
          <w:kern w:val="0"/>
          <w:sz w:val="28"/>
          <w:szCs w:val="28"/>
          <w:u w:val="single"/>
          <w:lang w:bidi="ru-RU"/>
        </w:rPr>
      </w:pPr>
      <w:r>
        <w:rPr>
          <w:rFonts w:eastAsia="Times New Roman"/>
          <w:kern w:val="0"/>
          <w:sz w:val="28"/>
          <w:szCs w:val="28"/>
        </w:rPr>
        <w:t>от 03.11.2022   № 355</w:t>
      </w:r>
      <w:bookmarkStart w:id="1" w:name="_GoBack"/>
      <w:bookmarkEnd w:id="1"/>
    </w:p>
    <w:p>
      <w:pPr>
        <w:pStyle w:val="Normal"/>
        <w:rPr>
          <w:rFonts w:eastAsia="Times New Roman"/>
          <w:bCs/>
          <w:kern w:val="0"/>
          <w:sz w:val="28"/>
          <w:szCs w:val="28"/>
          <w:lang w:bidi="ru-RU"/>
        </w:rPr>
      </w:pPr>
      <w:r>
        <w:rPr>
          <w:rFonts w:eastAsia="Times New Roman"/>
          <w:bCs/>
          <w:kern w:val="0"/>
          <w:sz w:val="28"/>
          <w:szCs w:val="28"/>
          <w:lang w:bidi="ru-RU"/>
        </w:rPr>
        <w:t xml:space="preserve"> </w:t>
      </w:r>
    </w:p>
    <w:p>
      <w:pPr>
        <w:pStyle w:val="Normal"/>
        <w:jc w:val="center"/>
        <w:rPr>
          <w:rFonts w:eastAsia="Times New Roman"/>
          <w:b/>
          <w:b/>
          <w:bCs/>
          <w:kern w:val="0"/>
          <w:sz w:val="28"/>
          <w:szCs w:val="28"/>
          <w:lang w:bidi="ru-RU"/>
        </w:rPr>
      </w:pPr>
      <w:r>
        <w:rPr>
          <w:b/>
          <w:sz w:val="28"/>
          <w:szCs w:val="28"/>
        </w:rPr>
        <w:t xml:space="preserve">Нормы оплаты услуг по организации и проведению торжественных церемоний </w:t>
      </w:r>
    </w:p>
    <w:p>
      <w:pPr>
        <w:pStyle w:val="ConsPlusNormal"/>
        <w:rPr>
          <w:sz w:val="26"/>
          <w:szCs w:val="26"/>
        </w:rPr>
      </w:pPr>
      <w:r>
        <w:rPr>
          <w:sz w:val="26"/>
          <w:szCs w:val="26"/>
        </w:rPr>
      </w:r>
    </w:p>
    <w:tbl>
      <w:tblPr>
        <w:tblW w:w="9351" w:type="dxa"/>
        <w:jc w:val="left"/>
        <w:tblInd w:w="0" w:type="dxa"/>
        <w:tblCellMar>
          <w:top w:w="102" w:type="dxa"/>
          <w:left w:w="62" w:type="dxa"/>
          <w:bottom w:w="102" w:type="dxa"/>
          <w:right w:w="62" w:type="dxa"/>
        </w:tblCellMar>
        <w:tblLook w:val="04a0" w:noHBand="0" w:noVBand="1" w:firstColumn="1" w:lastRow="0" w:lastColumn="0" w:firstRow="1"/>
      </w:tblPr>
      <w:tblGrid>
        <w:gridCol w:w="6350"/>
        <w:gridCol w:w="3000"/>
      </w:tblGrid>
      <w:tr>
        <w:trPr/>
        <w:tc>
          <w:tcPr>
            <w:tcW w:w="6350" w:type="dxa"/>
            <w:tcBorders>
              <w:top w:val="single" w:sz="4" w:space="0" w:color="000000"/>
              <w:left w:val="single" w:sz="4" w:space="0" w:color="000000"/>
              <w:bottom w:val="single" w:sz="4" w:space="0" w:color="000000"/>
              <w:right w:val="single" w:sz="4" w:space="0" w:color="000000"/>
            </w:tcBorders>
          </w:tcPr>
          <w:p>
            <w:pPr>
              <w:pStyle w:val="ConsPlusNormal"/>
              <w:rPr>
                <w:sz w:val="28"/>
                <w:szCs w:val="28"/>
              </w:rPr>
            </w:pPr>
            <w:r>
              <w:rPr>
                <w:sz w:val="28"/>
                <w:szCs w:val="28"/>
              </w:rPr>
              <w:t>Категория мероприятий</w:t>
            </w:r>
          </w:p>
        </w:tc>
        <w:tc>
          <w:tcPr>
            <w:tcW w:w="3000" w:type="dxa"/>
            <w:tcBorders>
              <w:top w:val="single" w:sz="4" w:space="0" w:color="000000"/>
              <w:left w:val="single" w:sz="4" w:space="0" w:color="000000"/>
              <w:bottom w:val="single" w:sz="4" w:space="0" w:color="000000"/>
              <w:right w:val="single" w:sz="4" w:space="0" w:color="000000"/>
            </w:tcBorders>
          </w:tcPr>
          <w:p>
            <w:pPr>
              <w:pStyle w:val="ConsPlusNormal"/>
              <w:rPr>
                <w:sz w:val="28"/>
                <w:szCs w:val="28"/>
              </w:rPr>
            </w:pPr>
            <w:r>
              <w:rPr>
                <w:sz w:val="28"/>
                <w:szCs w:val="28"/>
              </w:rPr>
              <w:t>Стоимость организации и проведения одной торжественной церемонии (в рублях)</w:t>
            </w:r>
          </w:p>
        </w:tc>
      </w:tr>
      <w:tr>
        <w:trPr/>
        <w:tc>
          <w:tcPr>
            <w:tcW w:w="6350" w:type="dxa"/>
            <w:tcBorders>
              <w:top w:val="single" w:sz="6" w:space="0" w:color="000000"/>
              <w:left w:val="single" w:sz="6" w:space="0" w:color="000000"/>
              <w:bottom w:val="single" w:sz="6" w:space="0" w:color="000000"/>
              <w:right w:val="single" w:sz="6" w:space="0" w:color="000000"/>
            </w:tcBorders>
          </w:tcPr>
          <w:p>
            <w:pPr>
              <w:pStyle w:val="ConsPlusNormal"/>
              <w:rPr>
                <w:sz w:val="26"/>
                <w:szCs w:val="26"/>
              </w:rPr>
            </w:pPr>
            <w:r>
              <w:rPr>
                <w:bCs/>
                <w:sz w:val="28"/>
                <w:szCs w:val="28"/>
                <w:lang w:bidi="ru-RU"/>
              </w:rPr>
              <w:t>1. Региональные, межрегиональные и всероссийские физкультурные мероприятия</w:t>
            </w:r>
          </w:p>
        </w:tc>
        <w:tc>
          <w:tcPr>
            <w:tcW w:w="3000" w:type="dxa"/>
            <w:tcBorders>
              <w:top w:val="single" w:sz="4" w:space="0" w:color="000000"/>
              <w:left w:val="single" w:sz="4" w:space="0" w:color="000000"/>
              <w:bottom w:val="single" w:sz="4" w:space="0" w:color="000000"/>
              <w:right w:val="single" w:sz="4" w:space="0" w:color="000000"/>
            </w:tcBorders>
            <w:vAlign w:val="center"/>
          </w:tcPr>
          <w:p>
            <w:pPr>
              <w:pStyle w:val="ConsPlusNormal"/>
              <w:rPr>
                <w:sz w:val="28"/>
                <w:szCs w:val="28"/>
              </w:rPr>
            </w:pPr>
            <w:r>
              <w:rPr>
                <w:sz w:val="28"/>
                <w:szCs w:val="28"/>
              </w:rPr>
              <w:t>до 100000</w:t>
            </w:r>
          </w:p>
        </w:tc>
      </w:tr>
      <w:tr>
        <w:trPr/>
        <w:tc>
          <w:tcPr>
            <w:tcW w:w="6350" w:type="dxa"/>
            <w:tcBorders>
              <w:top w:val="single" w:sz="6" w:space="0" w:color="000000"/>
              <w:left w:val="single" w:sz="6" w:space="0" w:color="000000"/>
              <w:bottom w:val="single" w:sz="6" w:space="0" w:color="000000"/>
              <w:right w:val="single" w:sz="6" w:space="0" w:color="000000"/>
            </w:tcBorders>
          </w:tcPr>
          <w:p>
            <w:pPr>
              <w:pStyle w:val="ConsPlusNormal"/>
              <w:rPr>
                <w:sz w:val="26"/>
                <w:szCs w:val="26"/>
              </w:rPr>
            </w:pPr>
            <w:r>
              <w:rPr>
                <w:bCs/>
                <w:sz w:val="28"/>
                <w:szCs w:val="28"/>
                <w:lang w:bidi="ru-RU"/>
              </w:rPr>
              <w:t>2. Международные спортивные соревнования, проводимые на территории Российской Федерации, Всероссийские спартакиады среди обучающихся, молодежи, лиц с ограниченными возможностями здоровья, сильнейших спортсменов без ограничения верхней границы возраста, Всероссийские универсиады</w:t>
            </w:r>
          </w:p>
        </w:tc>
        <w:tc>
          <w:tcPr>
            <w:tcW w:w="3000" w:type="dxa"/>
            <w:tcBorders>
              <w:top w:val="single" w:sz="4" w:space="0" w:color="000000"/>
              <w:left w:val="single" w:sz="4" w:space="0" w:color="000000"/>
              <w:bottom w:val="single" w:sz="4" w:space="0" w:color="000000"/>
              <w:right w:val="single" w:sz="4" w:space="0" w:color="000000"/>
            </w:tcBorders>
            <w:vAlign w:val="center"/>
          </w:tcPr>
          <w:p>
            <w:pPr>
              <w:pStyle w:val="ConsPlusNormal"/>
              <w:rPr>
                <w:sz w:val="28"/>
                <w:szCs w:val="28"/>
              </w:rPr>
            </w:pPr>
            <w:r>
              <w:rPr>
                <w:sz w:val="28"/>
                <w:szCs w:val="28"/>
              </w:rPr>
              <w:t>до 500000</w:t>
            </w:r>
          </w:p>
        </w:tc>
      </w:tr>
    </w:tbl>
    <w:p>
      <w:pPr>
        <w:pStyle w:val="ConsPlusNormal"/>
        <w:rPr>
          <w:sz w:val="26"/>
          <w:szCs w:val="26"/>
        </w:rPr>
      </w:pPr>
      <w:r>
        <w:rPr>
          <w:sz w:val="26"/>
          <w:szCs w:val="26"/>
        </w:rPr>
      </w:r>
    </w:p>
    <w:p>
      <w:pPr>
        <w:pStyle w:val="ConsPlusNormal"/>
        <w:rPr>
          <w:sz w:val="26"/>
          <w:szCs w:val="26"/>
        </w:rPr>
      </w:pPr>
      <w:r>
        <w:rPr>
          <w:sz w:val="26"/>
          <w:szCs w:val="26"/>
        </w:rPr>
      </w:r>
    </w:p>
    <w:p>
      <w:pPr>
        <w:pStyle w:val="ConsPlusNormal"/>
        <w:rPr>
          <w:sz w:val="26"/>
          <w:szCs w:val="26"/>
        </w:rPr>
      </w:pPr>
      <w:r>
        <w:rPr>
          <w:sz w:val="26"/>
          <w:szCs w:val="26"/>
        </w:rPr>
      </w:r>
    </w:p>
    <w:p>
      <w:pPr>
        <w:pStyle w:val="ConsPlusNormal"/>
        <w:rPr>
          <w:sz w:val="26"/>
          <w:szCs w:val="26"/>
        </w:rPr>
      </w:pPr>
      <w:r>
        <w:rPr>
          <w:sz w:val="26"/>
          <w:szCs w:val="26"/>
        </w:rPr>
      </w:r>
    </w:p>
    <w:p>
      <w:pPr>
        <w:pStyle w:val="ConsPlusNormal"/>
        <w:rPr>
          <w:sz w:val="26"/>
          <w:szCs w:val="26"/>
        </w:rPr>
      </w:pPr>
      <w:r>
        <w:rPr/>
      </w:r>
    </w:p>
    <w:sectPr>
      <w:headerReference w:type="default" r:id="rId6"/>
      <w:type w:val="nextPage"/>
      <w:pgSz w:w="11906" w:h="16838"/>
      <w:pgMar w:left="1701" w:right="850"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Bookman Old Style">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r>
      <mc:AlternateContent>
        <mc:Choice Requires="wps">
          <w:drawing>
            <wp:anchor behindDoc="0" distT="0" distB="0" distL="0" distR="0" simplePos="0" locked="0" layoutInCell="1" allowOverlap="1" relativeHeight="16">
              <wp:simplePos x="0" y="0"/>
              <wp:positionH relativeFrom="margin">
                <wp:align>center</wp:align>
              </wp:positionH>
              <wp:positionV relativeFrom="paragraph">
                <wp:posOffset>635</wp:posOffset>
              </wp:positionV>
              <wp:extent cx="1460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Style26"/>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233.3pt;mso-position-horizontal:center;mso-position-horizontal-relative:margin">
              <v:fill opacity="0f"/>
              <v:textbox inset="0in,0in,0in,0in">
                <w:txbxContent>
                  <w:p>
                    <w:pPr>
                      <w:pStyle w:val="Style26"/>
                      <w:pBdr/>
                      <w:rPr>
                        <w:rStyle w:val="Pagenumber"/>
                      </w:rPr>
                    </w:pPr>
                    <w:r>
                      <w:rPr/>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64d1"/>
    <w:pPr>
      <w:widowControl w:val="false"/>
      <w:suppressAutoHyphens w:val="true"/>
      <w:bidi w:val="0"/>
      <w:spacing w:before="0" w:after="0"/>
      <w:jc w:val="left"/>
    </w:pPr>
    <w:rPr>
      <w:rFonts w:eastAsia="Lucida Sans Unicode" w:ascii="Times New Roman" w:hAnsi="Times New Roman" w:cs="Times New Roman"/>
      <w:color w:val="auto"/>
      <w:kern w:val="2"/>
      <w:sz w:val="24"/>
      <w:szCs w:val="24"/>
      <w:lang w:val="ru-RU" w:eastAsia="ru-RU" w:bidi="ar-SA"/>
    </w:rPr>
  </w:style>
  <w:style w:type="paragraph" w:styleId="1">
    <w:name w:val="Heading 1"/>
    <w:basedOn w:val="Normal"/>
    <w:next w:val="Normal"/>
    <w:qFormat/>
    <w:rsid w:val="000b42da"/>
    <w:pPr>
      <w:keepNext w:val="true"/>
      <w:widowControl/>
      <w:suppressAutoHyphens w:val="false"/>
      <w:jc w:val="center"/>
      <w:outlineLvl w:val="0"/>
    </w:pPr>
    <w:rPr>
      <w:rFonts w:eastAsia="Times New Roman"/>
      <w:b/>
      <w:bCs/>
      <w:w w:val="90"/>
      <w:kern w:val="0"/>
      <w:sz w:val="36"/>
    </w:rPr>
  </w:style>
  <w:style w:type="character" w:styleId="DefaultParagraphFont" w:default="1">
    <w:name w:val="Default Paragraph Font"/>
    <w:uiPriority w:val="1"/>
    <w:semiHidden/>
    <w:unhideWhenUsed/>
    <w:qFormat/>
    <w:rPr/>
  </w:style>
  <w:style w:type="character" w:styleId="Style13" w:customStyle="1">
    <w:name w:val="Текст выноски Знак"/>
    <w:link w:val="a4"/>
    <w:qFormat/>
    <w:rsid w:val="00223576"/>
    <w:rPr>
      <w:rFonts w:ascii="Tahoma" w:hAnsi="Tahoma" w:eastAsia="Lucida Sans Unicode" w:cs="Tahoma"/>
      <w:kern w:val="2"/>
      <w:sz w:val="16"/>
      <w:szCs w:val="16"/>
    </w:rPr>
  </w:style>
  <w:style w:type="character" w:styleId="Pagenumber">
    <w:name w:val="page number"/>
    <w:basedOn w:val="DefaultParagraphFont"/>
    <w:qFormat/>
    <w:rsid w:val="00d64e25"/>
    <w:rPr/>
  </w:style>
  <w:style w:type="character" w:styleId="Style14">
    <w:name w:val="Интернет-ссылка"/>
    <w:basedOn w:val="DefaultParagraphFont"/>
    <w:unhideWhenUsed/>
    <w:rsid w:val="00867000"/>
    <w:rPr>
      <w:color w:val="0000FF" w:themeColor="hyperlink"/>
      <w:u w:val="single"/>
    </w:rPr>
  </w:style>
  <w:style w:type="character" w:styleId="HTML1">
    <w:name w:val="Стандартный HTML Знак1"/>
    <w:qFormat/>
    <w:rPr>
      <w:rFonts w:ascii="Courier New" w:hAnsi="Courier New" w:eastAsia="Courier New"/>
    </w:rPr>
  </w:style>
  <w:style w:type="character" w:styleId="Style15">
    <w:name w:val="Основной текст с отступом Знак"/>
    <w:qFormat/>
    <w:rPr>
      <w:rFonts w:eastAsia="Lucida Sans"/>
      <w:lang w:eastAsia="hi-IN"/>
    </w:rPr>
  </w:style>
  <w:style w:type="character" w:styleId="11">
    <w:name w:val="Основной текст Знак1"/>
    <w:qFormat/>
    <w:rPr>
      <w:rFonts w:eastAsia="Lucida Sans"/>
      <w:lang w:eastAsia="hi-IN"/>
    </w:rPr>
  </w:style>
  <w:style w:type="character" w:styleId="5">
    <w:name w:val="Основной текст (5)_"/>
    <w:qFormat/>
    <w:rPr>
      <w:sz w:val="18"/>
    </w:rPr>
  </w:style>
  <w:style w:type="character" w:styleId="Style16">
    <w:name w:val="Основной текст_"/>
    <w:qFormat/>
    <w:rPr/>
  </w:style>
  <w:style w:type="character" w:styleId="4">
    <w:name w:val="Основной текст (4)_"/>
    <w:qFormat/>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Title"/>
    <w:basedOn w:val="Normal"/>
    <w:qFormat/>
    <w:rsid w:val="000b42da"/>
    <w:pPr>
      <w:widowControl/>
      <w:suppressAutoHyphens w:val="false"/>
      <w:jc w:val="center"/>
    </w:pPr>
    <w:rPr>
      <w:rFonts w:eastAsia="Times New Roman"/>
      <w:b/>
      <w:bCs/>
      <w:w w:val="90"/>
      <w:kern w:val="0"/>
    </w:rPr>
  </w:style>
  <w:style w:type="paragraph" w:styleId="BalloonText">
    <w:name w:val="Balloon Text"/>
    <w:basedOn w:val="Normal"/>
    <w:link w:val="a5"/>
    <w:qFormat/>
    <w:rsid w:val="00223576"/>
    <w:pPr/>
    <w:rPr>
      <w:rFonts w:ascii="Tahoma" w:hAnsi="Tahoma" w:cs="Tahoma"/>
      <w:sz w:val="16"/>
      <w:szCs w:val="16"/>
    </w:rPr>
  </w:style>
  <w:style w:type="paragraph" w:styleId="BodyText2">
    <w:name w:val="Body Text 2"/>
    <w:basedOn w:val="Normal"/>
    <w:qFormat/>
    <w:rsid w:val="001d0e6b"/>
    <w:pPr>
      <w:widowControl/>
      <w:shd w:val="clear" w:color="auto" w:fill="FFFFFF"/>
      <w:suppressAutoHyphens w:val="false"/>
      <w:spacing w:lineRule="auto" w:line="360"/>
      <w:jc w:val="both"/>
    </w:pPr>
    <w:rPr>
      <w:rFonts w:ascii="Bookman Old Style" w:hAnsi="Bookman Old Style" w:eastAsia="Times New Roman"/>
      <w:kern w:val="0"/>
      <w:szCs w:val="20"/>
    </w:rPr>
  </w:style>
  <w:style w:type="paragraph" w:styleId="ConsPlusNormal" w:customStyle="1">
    <w:name w:val="ConsPlusNormal"/>
    <w:qFormat/>
    <w:rsid w:val="0080093e"/>
    <w:pPr>
      <w:widowControl w:val="fals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ConsPlusNonformat" w:customStyle="1">
    <w:name w:val="ConsPlusNonformat"/>
    <w:qFormat/>
    <w:rsid w:val="00e83dae"/>
    <w:pPr>
      <w:widowControl w:val="false"/>
      <w:bidi w:val="0"/>
      <w:spacing w:before="0" w:after="0"/>
      <w:jc w:val="left"/>
    </w:pPr>
    <w:rPr>
      <w:rFonts w:ascii="Courier New" w:hAnsi="Courier New" w:cs="Courier New" w:eastAsia="Times New Roman"/>
      <w:color w:val="auto"/>
      <w:kern w:val="0"/>
      <w:sz w:val="24"/>
      <w:szCs w:val="20"/>
      <w:lang w:val="ru-RU" w:eastAsia="ru-RU" w:bidi="ar-SA"/>
    </w:rPr>
  </w:style>
  <w:style w:type="paragraph" w:styleId="Style23" w:customStyle="1">
    <w:name w:val="Знак"/>
    <w:basedOn w:val="Normal"/>
    <w:qFormat/>
    <w:rsid w:val="005e43db"/>
    <w:pPr>
      <w:pageBreakBefore/>
      <w:widowControl/>
      <w:suppressAutoHyphens w:val="false"/>
      <w:spacing w:lineRule="auto" w:line="360" w:before="0" w:after="160"/>
    </w:pPr>
    <w:rPr>
      <w:rFonts w:eastAsia="Times New Roman"/>
      <w:kern w:val="0"/>
      <w:sz w:val="28"/>
      <w:szCs w:val="20"/>
      <w:lang w:val="en-US" w:eastAsia="en-US"/>
    </w:rPr>
  </w:style>
  <w:style w:type="paragraph" w:styleId="Style24">
    <w:name w:val="Верхний и нижний колонтитулы"/>
    <w:basedOn w:val="Normal"/>
    <w:qFormat/>
    <w:pPr/>
    <w:rPr/>
  </w:style>
  <w:style w:type="paragraph" w:styleId="Style25">
    <w:name w:val="Footer"/>
    <w:basedOn w:val="Normal"/>
    <w:rsid w:val="00d64e25"/>
    <w:pPr>
      <w:tabs>
        <w:tab w:val="clear" w:pos="709"/>
        <w:tab w:val="center" w:pos="4677" w:leader="none"/>
        <w:tab w:val="right" w:pos="9355" w:leader="none"/>
      </w:tabs>
    </w:pPr>
    <w:rPr/>
  </w:style>
  <w:style w:type="paragraph" w:styleId="Style26">
    <w:name w:val="Header"/>
    <w:basedOn w:val="Normal"/>
    <w:rsid w:val="00125988"/>
    <w:pPr>
      <w:tabs>
        <w:tab w:val="clear" w:pos="709"/>
        <w:tab w:val="center" w:pos="4677" w:leader="none"/>
        <w:tab w:val="right" w:pos="9355" w:leader="none"/>
      </w:tabs>
    </w:pPr>
    <w:rPr/>
  </w:style>
  <w:style w:type="paragraph" w:styleId="ListParagraph">
    <w:name w:val="List Paragraph"/>
    <w:basedOn w:val="Normal"/>
    <w:uiPriority w:val="34"/>
    <w:qFormat/>
    <w:rsid w:val="00c85724"/>
    <w:pPr>
      <w:spacing w:before="0" w:after="0"/>
      <w:ind w:left="720" w:hanging="0"/>
      <w:contextualSpacing/>
    </w:pPr>
    <w:rPr/>
  </w:style>
  <w:style w:type="paragraph" w:styleId="Style27">
    <w:name w:val="Содержимое врезки"/>
    <w:basedOn w:val="Normal"/>
    <w:qFormat/>
    <w:pPr/>
    <w:rPr/>
  </w:style>
  <w:style w:type="paragraph" w:styleId="NoSpacing">
    <w:name w:val="No Spacing"/>
    <w:qFormat/>
    <w:pPr>
      <w:widowControl/>
      <w:suppressAutoHyphens w:val="true"/>
      <w:bidi w:val="0"/>
      <w:spacing w:before="0" w:after="0"/>
      <w:jc w:val="left"/>
    </w:pPr>
    <w:rPr>
      <w:rFonts w:ascii="Calibri" w:hAnsi="Calibri" w:eastAsia="Tahoma" w:cs="Liberation Serif"/>
      <w:color w:val="auto"/>
      <w:kern w:val="0"/>
      <w:sz w:val="22"/>
      <w:szCs w:val="22"/>
      <w:lang w:val="ru-RU" w:eastAsia="ar-SA" w:bidi="ar-SA"/>
    </w:rPr>
  </w:style>
  <w:style w:type="paragraph" w:styleId="Style28">
    <w:name w:val="Колонтитул"/>
    <w:basedOn w:val="Normal"/>
    <w:qFormat/>
    <w:pPr>
      <w:suppressAutoHyphens w:val="false"/>
    </w:pPr>
    <w:rPr>
      <w:rFonts w:eastAsia="Times New Roman"/>
      <w:kern w:val="0"/>
      <w:sz w:val="22"/>
      <w:szCs w:val="22"/>
      <w:lang w:eastAsia="hi-IN"/>
    </w:rPr>
  </w:style>
  <w:style w:type="paragraph" w:styleId="12">
    <w:name w:val="Основной текст1"/>
    <w:basedOn w:val="Normal"/>
    <w:qFormat/>
    <w:pPr>
      <w:suppressAutoHyphens w:val="false"/>
      <w:spacing w:lineRule="auto" w:line="312"/>
      <w:ind w:firstLine="400"/>
    </w:pPr>
    <w:rPr>
      <w:rFonts w:eastAsia="Times New Roman"/>
      <w:kern w:val="0"/>
      <w:sz w:val="20"/>
      <w:szCs w:val="20"/>
      <w:lang w:eastAsia="hi-IN"/>
    </w:rPr>
  </w:style>
  <w:style w:type="paragraph" w:styleId="HTMLPreformatted">
    <w:name w:val="HTML Preformatted"/>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Courier New"/>
      <w:kern w:val="0"/>
      <w:sz w:val="20"/>
      <w:szCs w:val="20"/>
      <w:lang w:eastAsia="ar-SA"/>
    </w:rPr>
  </w:style>
  <w:style w:type="paragraph" w:styleId="Index1">
    <w:name w:val="index 1"/>
    <w:basedOn w:val="Normal"/>
    <w:qFormat/>
    <w:pPr>
      <w:ind w:left="240" w:hanging="240"/>
    </w:pPr>
    <w:rPr/>
  </w:style>
  <w:style w:type="paragraph" w:styleId="51">
    <w:name w:val="Основной текст (5)"/>
    <w:basedOn w:val="Normal"/>
    <w:qFormat/>
    <w:pPr>
      <w:suppressAutoHyphens w:val="false"/>
    </w:pPr>
    <w:rPr>
      <w:rFonts w:eastAsia="Times New Roman"/>
      <w:kern w:val="0"/>
      <w:sz w:val="18"/>
      <w:szCs w:val="18"/>
      <w:lang w:eastAsia="ar-SA"/>
    </w:rPr>
  </w:style>
  <w:style w:type="paragraph" w:styleId="13">
    <w:name w:val="Обычный1"/>
    <w:qFormat/>
    <w:pPr>
      <w:widowControl/>
      <w:suppressAutoHyphens w:val="true"/>
      <w:bidi w:val="0"/>
      <w:spacing w:before="0" w:after="0"/>
      <w:jc w:val="left"/>
    </w:pPr>
    <w:rPr>
      <w:rFonts w:ascii="Times New Roman" w:hAnsi="Times New Roman" w:eastAsia="Times New Roman" w:cs="Liberation Serif"/>
      <w:color w:val="auto"/>
      <w:kern w:val="0"/>
      <w:sz w:val="20"/>
      <w:szCs w:val="20"/>
      <w:lang w:val="ru-RU" w:eastAsia="ar-SA" w:bidi="ar-SA"/>
    </w:rPr>
  </w:style>
  <w:style w:type="paragraph" w:styleId="41">
    <w:name w:val="Основной текст (4)"/>
    <w:basedOn w:val="Normal"/>
    <w:qFormat/>
    <w:pPr>
      <w:suppressAutoHyphens w:val="false"/>
      <w:spacing w:before="0" w:after="900"/>
      <w:jc w:val="center"/>
    </w:pPr>
    <w:rPr>
      <w:rFonts w:eastAsia="Times New Roman"/>
      <w:kern w:val="0"/>
      <w:sz w:val="20"/>
      <w:szCs w:val="20"/>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rsid w:val="007d69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f12a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28132E1D1B08201E8F682035910200E58B1A7EEB448EC179EC28F229504D3AEF33B26E2248A4AC5C8D1427C7FD177F" TargetMode="External"/><Relationship Id="rId3" Type="http://schemas.openxmlformats.org/officeDocument/2006/relationships/hyperlink" Target="consultantplus://offline/ref=B28132E1D1B08201E8F682035910200E5FB8A5E9B54EEC179EC28F229504D3AEE13B7EEE258D55C3C7C4142D3940C67230E83D46EA5361EFDA78F" TargetMode="External"/><Relationship Id="rId4" Type="http://schemas.openxmlformats.org/officeDocument/2006/relationships/hyperlink" Target="consultantplus://offline/ref=B28132E1D1B08201E8F682035910200E5FB8A5E9B54EEC179EC28F229504D3AEE13B7EEE258D55C2CEC4142D3940C67230E83D46EA5361EFDA78F" TargetMode="External"/><Relationship Id="rId5" Type="http://schemas.openxmlformats.org/officeDocument/2006/relationships/hyperlink" Target="consultantplus://offline/ref=B28132E1D1B08201E8F682035910200E5FB8A5E9B54EEC179EC28F229504D3AEE13B7EEE258D55C2C7C4142D3940C67230E83D46EA5361EFDA78F"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2508-368F-421F-9124-7CDB808A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15</Pages>
  <Words>1766</Words>
  <Characters>12415</Characters>
  <CharactersWithSpaces>14004</CharactersWithSpaces>
  <Paragraphs>272</Paragraphs>
  <Company>Администрация Грязовецкого района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dc:description/>
  <dc:language>ru-RU</dc:language>
  <cp:lastModifiedBy/>
  <dcterms:modified xsi:type="dcterms:W3CDTF">2022-11-10T11:58:03Z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 Грязовецкого района</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