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Spacing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cs="Times New Roman" w:ascii="Times New Roman" w:hAnsi="Times New Roman"/>
          <w:b/>
          <w:bCs/>
          <w:sz w:val="26"/>
          <w:szCs w:val="26"/>
        </w:rPr>
        <mc:AlternateContent>
          <mc:Choice Requires="wps">
            <w:drawing>
              <wp:anchor behindDoc="0" distT="5080" distB="5080" distL="5080" distR="5080" simplePos="0" locked="0" layoutInCell="1" allowOverlap="1" relativeHeight="2">
                <wp:simplePos x="0" y="0"/>
                <wp:positionH relativeFrom="column">
                  <wp:posOffset>0</wp:posOffset>
                </wp:positionH>
                <wp:positionV relativeFrom="paragraph">
                  <wp:posOffset>635</wp:posOffset>
                </wp:positionV>
                <wp:extent cx="635000" cy="635000"/>
                <wp:effectExtent l="5080" t="5080" r="5080" b="5080"/>
                <wp:wrapNone/>
                <wp:docPr id="1" name="Прямоугольник 2" hidden="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40" cy="635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Прямоугольник 2" path="m0,0l-2147483645,0l-2147483645,-2147483646l0,-2147483646xe" fillcolor="white" stroked="t" o:allowincell="f" style="position:absolute;margin-left:0pt;margin-top:0.05pt;width:49.95pt;height:49.95pt;mso-wrap-style:none;v-text-anchor:middle">
                <v:fill o:detectmouseclick="t" type="solid" color2="black"/>
                <v:stroke color="black" weight="9360" joinstyle="round" endcap="flat"/>
                <w10:wrap type="none"/>
              </v:rect>
            </w:pict>
          </mc:Fallback>
        </mc:AlternateContent>
      </w:r>
    </w:p>
    <w:p>
      <w:pPr>
        <w:pStyle w:val="NoSpacing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cs="Times New Roman" w:ascii="Times New Roman" w:hAnsi="Times New Roman"/>
          <w:b/>
          <w:bCs/>
          <w:sz w:val="26"/>
          <w:szCs w:val="26"/>
        </w:rPr>
      </w:r>
    </w:p>
    <w:p>
      <w:pPr>
        <w:pStyle w:val="NoSpacing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cs="Times New Roman" w:ascii="Times New Roman" w:hAnsi="Times New Roman"/>
          <w:b/>
          <w:bCs/>
          <w:sz w:val="26"/>
          <w:szCs w:val="26"/>
        </w:rPr>
        <w:t>АДМИНИСТРАЦИЯ ГОРОДА ШАРЫПОВО КРАСНОЯРСКОГО КРАЯ</w:t>
      </w:r>
    </w:p>
    <w:p>
      <w:pPr>
        <w:pStyle w:val="NoSpacing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cs="Times New Roman" w:ascii="Times New Roman" w:hAnsi="Times New Roman"/>
          <w:b/>
          <w:bCs/>
          <w:sz w:val="26"/>
          <w:szCs w:val="26"/>
        </w:rPr>
      </w:r>
    </w:p>
    <w:p>
      <w:pPr>
        <w:pStyle w:val="NoSpacing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cs="Times New Roman" w:ascii="Times New Roman" w:hAnsi="Times New Roman"/>
          <w:b/>
          <w:bCs/>
          <w:sz w:val="26"/>
          <w:szCs w:val="26"/>
        </w:rPr>
        <w:t>ПОСТАНОВЛЕНИЕ</w:t>
      </w:r>
    </w:p>
    <w:p>
      <w:pPr>
        <w:pStyle w:val="NoSpacing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  <w:t xml:space="preserve">                               </w:t>
      </w:r>
    </w:p>
    <w:p>
      <w:pPr>
        <w:pStyle w:val="NoSpacing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  <w:t xml:space="preserve">     </w:t>
      </w:r>
      <w:r>
        <w:rPr>
          <w:rFonts w:cs="Times New Roman" w:ascii="Times New Roman" w:hAnsi="Times New Roman"/>
          <w:b/>
          <w:sz w:val="26"/>
          <w:szCs w:val="26"/>
        </w:rPr>
        <w:t xml:space="preserve">21.02.2025                         </w:t>
        <w:tab/>
        <w:tab/>
        <w:tab/>
        <w:tab/>
        <w:tab/>
        <w:tab/>
        <w:t xml:space="preserve">                 № 55</w:t>
      </w:r>
    </w:p>
    <w:p>
      <w:pPr>
        <w:pStyle w:val="NoSpacing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 xml:space="preserve">О внесении изменений и дополнений в постановление Администрации города Шарыпово от 30.07.2019 № 160 «Об утверждении Положения о системе оплаты и стимулирования труда работников муниципальных учреждений, подведомственных Отделу спорта и молодежной политики Администрации города Шарыпово» (в редакции от 09.01.2025 №1) 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В соответствии с Трудовым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руководствуясь статьей 34 Устава города Шарыпово Красноярского края,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ПОСТАНОВЛЯЮ: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1. Внести в постановление Администрации города  Шарыпово от 30.07.2019 №160 «Об утверждении Положения о системе оплаты и стимулирования труда работников муниципальных учреждений, подведомственных Отделу спорта и молодежной политики Администрации города Шарыпово» (в редакции от 25.09.2019 №189, от 11.12.2019 №271, от 07.05.2020 №92, от 30.09.2020 №200, от 19.01.2021 №10, от 20.02.2021 №43, от 20.12.2021 №282, от 12.01.2022 №15, от 18.05.2022 №151, от 21.06.2022 №207; от 16.01.2023 №16; от 10.04.2023 №86; от 19.05.2023 №133; от 31.05.2023 №142; от 09.10.2023 №247; от 22.12.2023 №337; от 16.05.2024 №111; от 14.06.2024 №136; от 17.12.2024 №322, от 09.01.2025 №1) следующие изменения:</w:t>
      </w:r>
    </w:p>
    <w:p>
      <w:pPr>
        <w:pStyle w:val="ListParagraph"/>
        <w:spacing w:lineRule="auto" w:line="240" w:before="0" w:after="0"/>
        <w:ind w:hanging="0" w:left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1.1. В приложении к постановлению:</w:t>
      </w:r>
    </w:p>
    <w:p>
      <w:pPr>
        <w:pStyle w:val="ListParagraph"/>
        <w:spacing w:lineRule="auto" w:line="240" w:before="0" w:after="0"/>
        <w:ind w:firstLine="567"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1.1.1. В таблице 3 подпункта 2.3.3. пункта 2.3. раздела 2 «Минимальные размеры окладов (должностных окладов), ставок заработной платы»:</w:t>
      </w:r>
    </w:p>
    <w:p>
      <w:pPr>
        <w:pStyle w:val="ListParagraph"/>
        <w:spacing w:lineRule="auto" w:line="240" w:before="0" w:after="0"/>
        <w:ind w:firstLine="567"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- строку ПКГ «Общеотраслевые должности служащих второго уровня» изложить в новой редакции: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firstLine="567" w:left="0"/>
        <w:outlineLvl w:val="2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«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firstLine="567" w:left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ПКГ «Общеотраслевые должности служащих второго уровня»</w:t>
      </w:r>
    </w:p>
    <w:tbl>
      <w:tblPr>
        <w:tblW w:w="9494" w:type="dxa"/>
        <w:jc w:val="left"/>
        <w:tblInd w:w="-68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0" w:noVBand="0" w:lastRow="0" w:firstColumn="0" w:lastColumn="0" w:noHBand="0" w:val="0000"/>
      </w:tblPr>
      <w:tblGrid>
        <w:gridCol w:w="2548"/>
        <w:gridCol w:w="3544"/>
        <w:gridCol w:w="3402"/>
      </w:tblGrid>
      <w:tr>
        <w:trPr>
          <w:trHeight w:val="360" w:hRule="atLeast"/>
          <w:cantSplit w:val="true"/>
        </w:trPr>
        <w:tc>
          <w:tcPr>
            <w:tcW w:w="2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ConsPlusCel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Квалификационные уровни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ConsPlusCel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Должность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Spacing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Минимальный размер оклада (должностного   оклада), ставки заработной платы, руб.</w:t>
            </w:r>
          </w:p>
        </w:tc>
      </w:tr>
      <w:tr>
        <w:trPr>
          <w:trHeight w:val="240" w:hRule="atLeast"/>
          <w:cantSplit w:val="true"/>
        </w:trPr>
        <w:tc>
          <w:tcPr>
            <w:tcW w:w="2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 квалификационный уровень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Администратор, техник-лаборант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ConsPlusCel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4 498</w:t>
            </w:r>
          </w:p>
        </w:tc>
      </w:tr>
      <w:tr>
        <w:trPr>
          <w:trHeight w:val="240" w:hRule="atLeast"/>
          <w:cantSplit w:val="true"/>
        </w:trPr>
        <w:tc>
          <w:tcPr>
            <w:tcW w:w="2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2 квалификационный уровень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Старший администратор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ConsPlusCel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4 943</w:t>
            </w:r>
          </w:p>
        </w:tc>
      </w:tr>
      <w:tr>
        <w:trPr>
          <w:trHeight w:val="240" w:hRule="atLeast"/>
          <w:cantSplit w:val="true"/>
        </w:trPr>
        <w:tc>
          <w:tcPr>
            <w:tcW w:w="2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4 квалификационный уровень  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Механик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ConsPlusCel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6 854</w:t>
            </w:r>
          </w:p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</w:tbl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»;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- строку ПКГ «Общеотраслевые должности служащих третьего уровня» изложить в новой редакции: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«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hanging="0" w:left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ПКГ «Общеотраслевые должности служащих третьего уровня»</w:t>
      </w:r>
    </w:p>
    <w:tbl>
      <w:tblPr>
        <w:tblW w:w="9494" w:type="dxa"/>
        <w:jc w:val="left"/>
        <w:tblInd w:w="-68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0" w:noVBand="0" w:lastRow="0" w:firstColumn="0" w:lastColumn="0" w:noHBand="0" w:val="0000"/>
      </w:tblPr>
      <w:tblGrid>
        <w:gridCol w:w="2548"/>
        <w:gridCol w:w="3544"/>
        <w:gridCol w:w="3402"/>
      </w:tblGrid>
      <w:tr>
        <w:trPr>
          <w:trHeight w:val="360" w:hRule="atLeast"/>
          <w:cantSplit w:val="true"/>
        </w:trPr>
        <w:tc>
          <w:tcPr>
            <w:tcW w:w="2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ConsPlusCel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Квалификационные уровни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ConsPlusCel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Должность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Spacing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Минимальный размер оклада (должностного   оклада), ставки заработной платы, руб.</w:t>
            </w:r>
          </w:p>
        </w:tc>
      </w:tr>
      <w:tr>
        <w:trPr>
          <w:trHeight w:val="240" w:hRule="atLeast"/>
          <w:cantSplit w:val="true"/>
        </w:trPr>
        <w:tc>
          <w:tcPr>
            <w:tcW w:w="2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4 квалификационный уровень 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Ведущий специалист по кадрам, ведущий инженер-энергетик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ConsPlusCel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7 167</w:t>
            </w:r>
          </w:p>
        </w:tc>
      </w:tr>
    </w:tbl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»;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- строку «Должности, не включенные в ПКГ» изложить в новой редакции: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«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color w:themeColor="text1" w:val="000000"/>
          <w:sz w:val="26"/>
          <w:szCs w:val="26"/>
        </w:rPr>
      </w:pPr>
      <w:r>
        <w:rPr>
          <w:rFonts w:cs="Times New Roman" w:ascii="Times New Roman" w:hAnsi="Times New Roman"/>
          <w:color w:themeColor="text1" w:val="000000"/>
          <w:sz w:val="26"/>
          <w:szCs w:val="26"/>
        </w:rPr>
        <w:t>Должности, не включенные в ПКГ</w:t>
      </w:r>
    </w:p>
    <w:tbl>
      <w:tblPr>
        <w:tblW w:w="9632" w:type="dxa"/>
        <w:jc w:val="left"/>
        <w:tblInd w:w="-68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0" w:noVBand="0" w:lastRow="0" w:firstColumn="0" w:lastColumn="0" w:noHBand="0" w:val="0000"/>
      </w:tblPr>
      <w:tblGrid>
        <w:gridCol w:w="4674"/>
        <w:gridCol w:w="4957"/>
      </w:tblGrid>
      <w:tr>
        <w:trPr>
          <w:trHeight w:val="360" w:hRule="atLeast"/>
          <w:cantSplit w:val="true"/>
        </w:trPr>
        <w:tc>
          <w:tcPr>
            <w:tcW w:w="4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ConsPlusCel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Должности, не вошедшие в профессиональные квалификационные группы</w:t>
            </w:r>
          </w:p>
        </w:tc>
        <w:tc>
          <w:tcPr>
            <w:tcW w:w="49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Spacing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Минимальный размер оклада (должностного   оклада), ставки заработной платы, руб.</w:t>
            </w:r>
          </w:p>
        </w:tc>
      </w:tr>
      <w:tr>
        <w:trPr>
          <w:trHeight w:val="240" w:hRule="atLeast"/>
          <w:cantSplit w:val="true"/>
        </w:trPr>
        <w:tc>
          <w:tcPr>
            <w:tcW w:w="4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ConsPlusCel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Аппаратчик химической водоочистки</w:t>
            </w:r>
          </w:p>
        </w:tc>
        <w:tc>
          <w:tcPr>
            <w:tcW w:w="49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ConsPlusCel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4 053</w:t>
            </w:r>
          </w:p>
        </w:tc>
      </w:tr>
      <w:tr>
        <w:trPr>
          <w:trHeight w:val="240" w:hRule="atLeast"/>
          <w:cantSplit w:val="true"/>
        </w:trPr>
        <w:tc>
          <w:tcPr>
            <w:tcW w:w="4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ConsPlusCel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Системный администратор</w:t>
            </w:r>
          </w:p>
        </w:tc>
        <w:tc>
          <w:tcPr>
            <w:tcW w:w="49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ConsPlusCel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4 943</w:t>
            </w:r>
          </w:p>
        </w:tc>
      </w:tr>
      <w:tr>
        <w:trPr>
          <w:trHeight w:val="240" w:hRule="atLeast"/>
          <w:cantSplit w:val="true"/>
        </w:trPr>
        <w:tc>
          <w:tcPr>
            <w:tcW w:w="4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ConsPlusCel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Специалист по охране труда </w:t>
            </w:r>
            <w:r>
              <w:rPr>
                <w:rFonts w:cs="Times New Roman" w:ascii="Times New Roman" w:hAnsi="Times New Roman"/>
                <w:sz w:val="24"/>
                <w:szCs w:val="24"/>
                <w:lang w:val="en-US"/>
              </w:rPr>
              <w:t>I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 категории</w:t>
            </w:r>
          </w:p>
        </w:tc>
        <w:tc>
          <w:tcPr>
            <w:tcW w:w="49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ConsPlusCel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5 961</w:t>
            </w:r>
          </w:p>
        </w:tc>
      </w:tr>
    </w:tbl>
    <w:p>
      <w:pPr>
        <w:pStyle w:val="Normal"/>
        <w:spacing w:lineRule="auto" w:line="360" w:before="0"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».</w:t>
      </w:r>
    </w:p>
    <w:p>
      <w:pPr>
        <w:pStyle w:val="NoSpacing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1.1.2. Раздел 3 «Выплаты компенсационного характера» дополнить пунктом 3.10. следующего содержания:</w:t>
      </w:r>
    </w:p>
    <w:p>
      <w:pPr>
        <w:pStyle w:val="NoSpacing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«Выплата работникам физкультурно-спортивных организаций для спортсменов с инвалидностью и ограниченными возможностями здоровья, в том числе с задержкой психического развития, производится всем категориям работников учреждения в размере 20% от оклада (должностного оклада), ставки заработной платы».</w:t>
      </w:r>
    </w:p>
    <w:p>
      <w:pPr>
        <w:pStyle w:val="NoSpacing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1.1.3. Подпункт 4.5.2.1. пункта 4.5. раздела 4 «Выплаты стимулирующего характера для работников учреждений молодежной политики (за исключением руководителя учреждения)» - исключить.</w:t>
      </w:r>
    </w:p>
    <w:p>
      <w:pPr>
        <w:pStyle w:val="NoSpacing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1.1.4. Подпункт 5.4.4.1. пункта 5.4. раздела 5 «Выплаты стимулирующего характера для работников спортивных школ (за исключением руководителя учреждения и его заместителей)» - исключить.</w:t>
      </w:r>
    </w:p>
    <w:p>
      <w:pPr>
        <w:pStyle w:val="NoSpacing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1.1.5. В таблице 12 подпункта 6.2.2. пункта 6.2. раздела 6 «Выплаты стимулирующего характера для работников центра физкультурно-спортивной подготовки (за исключением руководителя учреждения и его заместителей)»:</w:t>
      </w:r>
    </w:p>
    <w:p>
      <w:pPr>
        <w:pStyle w:val="NoSpacing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- после строки «Главный инженер» добавить строки следующего содержания:</w:t>
      </w:r>
    </w:p>
    <w:p>
      <w:pPr>
        <w:pStyle w:val="NoSpacing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«</w:t>
      </w:r>
    </w:p>
    <w:tbl>
      <w:tblPr>
        <w:tblStyle w:val="a9"/>
        <w:tblW w:w="9810" w:type="dxa"/>
        <w:jc w:val="left"/>
        <w:tblInd w:w="-5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558"/>
        <w:gridCol w:w="3006"/>
        <w:gridCol w:w="8"/>
        <w:gridCol w:w="3536"/>
        <w:gridCol w:w="7"/>
        <w:gridCol w:w="1694"/>
      </w:tblGrid>
      <w:tr>
        <w:trPr/>
        <w:tc>
          <w:tcPr>
            <w:tcW w:w="1558" w:type="dxa"/>
            <w:vMerge w:val="restart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Ведущий инженер -энергетик</w:t>
            </w:r>
          </w:p>
        </w:tc>
        <w:tc>
          <w:tcPr>
            <w:tcW w:w="8251" w:type="dxa"/>
            <w:gridSpan w:val="5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kern w:val="0"/>
                <w:sz w:val="24"/>
                <w:szCs w:val="24"/>
                <w:lang w:val="ru-RU" w:bidi="ar-SA"/>
              </w:rPr>
              <w:t>Выплата за важность выполняемой работы, степень самостоятельности и ответственности при выполнении поставленных задач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обеспечение бесперебойной работы, правильной эксплуатации, ремонта и модернизации энергетического оборудования, электрических и тепловых сетей, воздухопроводов</w:t>
            </w:r>
          </w:p>
        </w:tc>
        <w:tc>
          <w:tcPr>
            <w:tcW w:w="3543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отсутствие аварийных ситуаций, бесперебойная работа электрических и тепловых сетей, воздухопроводов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30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составление графиков снижения энергетических нагрузок в часы максимальных нагрузок энергосистемы и их выполнение в пределах определенной для подразделения величины</w:t>
            </w:r>
          </w:p>
        </w:tc>
        <w:tc>
          <w:tcPr>
            <w:tcW w:w="3543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организация проверок и испытания средств релейной защиты и автоматики</w:t>
            </w:r>
          </w:p>
        </w:tc>
        <w:tc>
          <w:tcPr>
            <w:tcW w:w="3543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осуществление технического надзора за контрольно-измерительными, электротехническими и теплотехническими приборами, подготовкой котлов, сосудов, работающих под давлением, трубопроводов пара и горячей воды, электроустановок и других объектов энергохозяйства при приемки в эксплуатацию, проверкой и освидетельствованиями органами государственного надзора</w:t>
            </w:r>
          </w:p>
        </w:tc>
        <w:tc>
          <w:tcPr>
            <w:tcW w:w="3543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8251" w:type="dxa"/>
            <w:gridSpan w:val="5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kern w:val="0"/>
                <w:sz w:val="24"/>
                <w:szCs w:val="24"/>
                <w:lang w:val="ru-RU" w:bidi="ar-SA"/>
              </w:rPr>
              <w:t>Выплата за интенсивность и высокие результаты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06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оперативное реагирование и высокое качество выполнения текущих работ и дополнительных разовых поручений (не входящей в обязанности по своей должности)</w:t>
            </w:r>
          </w:p>
        </w:tc>
        <w:tc>
          <w:tcPr>
            <w:tcW w:w="3544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выполнение срочных, непредвиденных и особо важных работ, отдельных дополнительных поручений в срок и в полном объеме 100%</w:t>
            </w:r>
          </w:p>
        </w:tc>
        <w:tc>
          <w:tcPr>
            <w:tcW w:w="1701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10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06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участие в подготовке и проведении мероприятий, проводимых учреждением</w:t>
            </w:r>
          </w:p>
        </w:tc>
        <w:tc>
          <w:tcPr>
            <w:tcW w:w="3544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проводимых мероприятий</w:t>
            </w:r>
          </w:p>
        </w:tc>
        <w:tc>
          <w:tcPr>
            <w:tcW w:w="1701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10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06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подготовка необходимых материалов для заключения договоров не ремонт оборудования со сторонними организациями</w:t>
            </w:r>
          </w:p>
        </w:tc>
        <w:tc>
          <w:tcPr>
            <w:tcW w:w="3544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проводимых мероприятий</w:t>
            </w:r>
          </w:p>
        </w:tc>
        <w:tc>
          <w:tcPr>
            <w:tcW w:w="1701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10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8251" w:type="dxa"/>
            <w:gridSpan w:val="5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kern w:val="0"/>
                <w:sz w:val="24"/>
                <w:szCs w:val="24"/>
                <w:lang w:val="ru-RU" w:bidi="ar-SA"/>
              </w:rPr>
              <w:t>Выплата за качество выполняемых работ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06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оперативное принятие мер, включая своевременное информирование руководства по устранению нарушений техники безопасности, противопожарных и иных правил, создающих угрозу деятельности учреждения, работникам</w:t>
            </w:r>
          </w:p>
        </w:tc>
        <w:tc>
          <w:tcPr>
            <w:tcW w:w="3544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701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10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06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соблюдение технологической дисциплины, правил  и норм по охране труда, техники безопасности, производственной санитарии и пожарной безопасности, требований природоохранных, санитарных органов, а также органов осуществляющих технических надзор</w:t>
            </w:r>
          </w:p>
        </w:tc>
        <w:tc>
          <w:tcPr>
            <w:tcW w:w="3544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701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10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06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своевременная подготовка технической документации (чертежей, спецификаций, технических условий, технологических карт), а также отчетной документации по направлениям деятельности</w:t>
            </w:r>
          </w:p>
        </w:tc>
        <w:tc>
          <w:tcPr>
            <w:tcW w:w="3544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701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10 баллов</w:t>
            </w:r>
          </w:p>
        </w:tc>
      </w:tr>
      <w:tr>
        <w:trPr/>
        <w:tc>
          <w:tcPr>
            <w:tcW w:w="1558" w:type="dxa"/>
            <w:vMerge w:val="restart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Системный администратор</w:t>
            </w:r>
          </w:p>
        </w:tc>
        <w:tc>
          <w:tcPr>
            <w:tcW w:w="8251" w:type="dxa"/>
            <w:gridSpan w:val="5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kern w:val="0"/>
                <w:sz w:val="24"/>
                <w:szCs w:val="24"/>
                <w:lang w:val="ru-RU" w:bidi="ar-SA"/>
              </w:rPr>
              <w:t>Выплата за важность выполняемой работы, степень самостоятельности и ответственности при выполнении поставленных задач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06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обеспечение работы технических и программных средств информационно-коммуникационных систем</w:t>
            </w:r>
          </w:p>
        </w:tc>
        <w:tc>
          <w:tcPr>
            <w:tcW w:w="3544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701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06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обеспечение реализации схемы резервного копирования, архивирования и восстановления конфигураций технических и программных средств информационно-коммуникационных систем по утвержденным планам</w:t>
            </w:r>
          </w:p>
        </w:tc>
        <w:tc>
          <w:tcPr>
            <w:tcW w:w="3544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701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10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06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проведение обновления программного обеспечения технических средств информационно-коммуникационных систем по инструкциям производителей</w:t>
            </w:r>
          </w:p>
        </w:tc>
        <w:tc>
          <w:tcPr>
            <w:tcW w:w="3544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701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10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06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диагностика исчерпания типовых ресурсов информационно-коммуникационных систем с использованием прикладных программных средств и средств контроля</w:t>
            </w:r>
          </w:p>
        </w:tc>
        <w:tc>
          <w:tcPr>
            <w:tcW w:w="3544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701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06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проведение предварительных испытаний при проведении работ с возможными рисками перерывов в предоставлении сервисов информационно-коммуникационных систем</w:t>
            </w:r>
          </w:p>
        </w:tc>
        <w:tc>
          <w:tcPr>
            <w:tcW w:w="3544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701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10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8251" w:type="dxa"/>
            <w:gridSpan w:val="5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kern w:val="0"/>
                <w:sz w:val="24"/>
                <w:szCs w:val="24"/>
                <w:lang w:val="ru-RU" w:bidi="ar-SA"/>
              </w:rPr>
              <w:t>Выплата за интенсивность и высокие результаты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06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 xml:space="preserve">оперативное реагирование  и высокое качество выполнения текущих работ и дополнительных разовых поручений (не входящие в обязанности по своей должности) </w:t>
            </w:r>
          </w:p>
        </w:tc>
        <w:tc>
          <w:tcPr>
            <w:tcW w:w="3544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701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8251" w:type="dxa"/>
            <w:gridSpan w:val="5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kern w:val="0"/>
                <w:sz w:val="24"/>
                <w:szCs w:val="24"/>
                <w:lang w:val="ru-RU" w:bidi="ar-SA"/>
              </w:rPr>
              <w:t>Выплата за качество выполняемых работ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06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отсутствие обоснованных зафиксированных замечаний к деятельности сотрудника</w:t>
            </w:r>
          </w:p>
        </w:tc>
        <w:tc>
          <w:tcPr>
            <w:tcW w:w="3544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701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10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06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качество и достоверность предоставляемой отчетной и иной документации</w:t>
            </w:r>
          </w:p>
        </w:tc>
        <w:tc>
          <w:tcPr>
            <w:tcW w:w="3544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701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10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06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своевременное устранение сбоев и отказов сетевых устройств и операционных систем</w:t>
            </w:r>
          </w:p>
        </w:tc>
        <w:tc>
          <w:tcPr>
            <w:tcW w:w="3544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701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10 баллов</w:t>
            </w:r>
          </w:p>
        </w:tc>
      </w:tr>
      <w:tr>
        <w:trPr/>
        <w:tc>
          <w:tcPr>
            <w:tcW w:w="1558" w:type="dxa"/>
            <w:vMerge w:val="restart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Старший администратор, администратор</w:t>
            </w:r>
          </w:p>
        </w:tc>
        <w:tc>
          <w:tcPr>
            <w:tcW w:w="8251" w:type="dxa"/>
            <w:gridSpan w:val="5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kern w:val="0"/>
                <w:sz w:val="24"/>
                <w:szCs w:val="24"/>
                <w:lang w:val="ru-RU" w:bidi="ar-SA"/>
              </w:rPr>
              <w:t>Выплата за важность выполняемой работы, степень самостоятельности и ответственности при выполнении поставленных задач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осуществление работы по эффективному и культурному обслуживанию посетителей и создания для них комфортных условий</w:t>
            </w:r>
          </w:p>
        </w:tc>
        <w:tc>
          <w:tcPr>
            <w:tcW w:w="3543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обеспечение контроля за сохранностью материальных ценностей</w:t>
            </w:r>
          </w:p>
        </w:tc>
        <w:tc>
          <w:tcPr>
            <w:tcW w:w="3543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обеспечение чистоты и порядка в помещениях и на прилегающей территории</w:t>
            </w:r>
          </w:p>
        </w:tc>
        <w:tc>
          <w:tcPr>
            <w:tcW w:w="3543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8251" w:type="dxa"/>
            <w:gridSpan w:val="5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kern w:val="0"/>
                <w:sz w:val="24"/>
                <w:szCs w:val="24"/>
                <w:lang w:val="ru-RU" w:bidi="ar-SA"/>
              </w:rPr>
              <w:t>Выплата за интенсивность и высокие результаты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оперативное решение конфликтных ситуаций</w:t>
            </w:r>
          </w:p>
        </w:tc>
        <w:tc>
          <w:tcPr>
            <w:tcW w:w="3543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10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оперативное рассмотрение претензий, проведение необходимых организационно-технических мероприятий</w:t>
            </w:r>
          </w:p>
        </w:tc>
        <w:tc>
          <w:tcPr>
            <w:tcW w:w="3543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10 баллов</w:t>
            </w:r>
          </w:p>
        </w:tc>
      </w:tr>
      <w:tr>
        <w:trPr>
          <w:trHeight w:val="323" w:hRule="atLeast"/>
        </w:trPr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8251" w:type="dxa"/>
            <w:gridSpan w:val="5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kern w:val="0"/>
                <w:sz w:val="24"/>
                <w:szCs w:val="24"/>
                <w:lang w:val="ru-RU" w:bidi="ar-SA"/>
              </w:rPr>
              <w:t>Выплата за качество выполняемых работ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отсутствие обоснованных зафиксированных замечаний к деятельности сотрудника</w:t>
            </w:r>
          </w:p>
        </w:tc>
        <w:tc>
          <w:tcPr>
            <w:tcW w:w="3543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10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качество и достоверность предоставляемой отчетной и иной документации</w:t>
            </w:r>
          </w:p>
        </w:tc>
        <w:tc>
          <w:tcPr>
            <w:tcW w:w="3543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10 баллов</w:t>
            </w:r>
          </w:p>
        </w:tc>
      </w:tr>
      <w:tr>
        <w:trPr/>
        <w:tc>
          <w:tcPr>
            <w:tcW w:w="1558" w:type="dxa"/>
            <w:vMerge w:val="restart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Техник-лаборант</w:t>
            </w:r>
          </w:p>
        </w:tc>
        <w:tc>
          <w:tcPr>
            <w:tcW w:w="8251" w:type="dxa"/>
            <w:gridSpan w:val="5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kern w:val="0"/>
                <w:sz w:val="24"/>
                <w:szCs w:val="24"/>
                <w:lang w:val="ru-RU" w:bidi="ar-SA"/>
              </w:rPr>
              <w:t>Выплата за важность выполняемой работы, степень самостоятельности и ответственности при выполнении поставленных задач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выполнение анализов и испытаний по определению химического состава и основных свойств материалов в соответствии с требованиями стандартов и технических условий</w:t>
            </w:r>
          </w:p>
        </w:tc>
        <w:tc>
          <w:tcPr>
            <w:tcW w:w="3543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своевременное извещение соответствующих подразделений и сотрудников о результатах анализов и испытаний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оформление результатов анализов и испытаний, ведение их учета, составление технической документации по выполняемым работам</w:t>
            </w:r>
          </w:p>
        </w:tc>
        <w:tc>
          <w:tcPr>
            <w:tcW w:w="3543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обеспечение исправного состояния установок, приборов, инструмента и другого лабораторного оборудования</w:t>
            </w:r>
          </w:p>
        </w:tc>
        <w:tc>
          <w:tcPr>
            <w:tcW w:w="3543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8251" w:type="dxa"/>
            <w:gridSpan w:val="5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kern w:val="0"/>
                <w:sz w:val="24"/>
                <w:szCs w:val="24"/>
                <w:lang w:val="ru-RU" w:bidi="ar-SA"/>
              </w:rPr>
              <w:t>Выплата за интенсивность и высокие результаты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оперативное реагирование и высокое качество выполнения текущих работ и дополнительных разовых поручений (не входящей в обязанности по своей должности)</w:t>
            </w:r>
          </w:p>
        </w:tc>
        <w:tc>
          <w:tcPr>
            <w:tcW w:w="3543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оперативное взаимодействие с другими ведомствами</w:t>
            </w:r>
          </w:p>
        </w:tc>
        <w:tc>
          <w:tcPr>
            <w:tcW w:w="3543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8251" w:type="dxa"/>
            <w:gridSpan w:val="5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kern w:val="0"/>
                <w:sz w:val="24"/>
                <w:szCs w:val="24"/>
                <w:lang w:val="ru-RU" w:bidi="ar-SA"/>
              </w:rPr>
              <w:t>Выплата за качество выполняемых работ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отсутствие обоснованных зафиксированных замечаний к деятельности сотрудника</w:t>
            </w:r>
          </w:p>
        </w:tc>
        <w:tc>
          <w:tcPr>
            <w:tcW w:w="3543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10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качество и достоверность предоставляемой отчетной и иной документации</w:t>
            </w:r>
          </w:p>
        </w:tc>
        <w:tc>
          <w:tcPr>
            <w:tcW w:w="3543" w:type="dxa"/>
            <w:gridSpan w:val="2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10 баллов</w:t>
            </w:r>
          </w:p>
        </w:tc>
      </w:tr>
    </w:tbl>
    <w:p>
      <w:pPr>
        <w:pStyle w:val="NoSpacing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»;</w:t>
      </w:r>
    </w:p>
    <w:p>
      <w:pPr>
        <w:pStyle w:val="NoSpacing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- строку «Специалист по охране труда I категории» изложить в новой редакции:</w:t>
      </w:r>
    </w:p>
    <w:p>
      <w:pPr>
        <w:pStyle w:val="NoSpacing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«</w:t>
      </w:r>
    </w:p>
    <w:tbl>
      <w:tblPr>
        <w:tblStyle w:val="a9"/>
        <w:tblW w:w="9810" w:type="dxa"/>
        <w:jc w:val="left"/>
        <w:tblInd w:w="-5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558"/>
        <w:gridCol w:w="3014"/>
        <w:gridCol w:w="3543"/>
        <w:gridCol w:w="1694"/>
      </w:tblGrid>
      <w:tr>
        <w:trPr/>
        <w:tc>
          <w:tcPr>
            <w:tcW w:w="1558" w:type="dxa"/>
            <w:vMerge w:val="restart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Cs/>
                <w:kern w:val="0"/>
                <w:sz w:val="26"/>
                <w:szCs w:val="26"/>
                <w:lang w:val="ru-RU" w:bidi="ar-SA"/>
              </w:rPr>
              <w:t xml:space="preserve"> </w:t>
            </w: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 xml:space="preserve">Специалист  по  охране труда </w:t>
            </w: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en-US" w:bidi="ar-SA"/>
              </w:rPr>
              <w:t>I</w:t>
            </w: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 xml:space="preserve"> категории</w:t>
            </w:r>
          </w:p>
        </w:tc>
        <w:tc>
          <w:tcPr>
            <w:tcW w:w="8251" w:type="dxa"/>
            <w:gridSpan w:val="3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kern w:val="0"/>
                <w:sz w:val="24"/>
                <w:szCs w:val="24"/>
                <w:lang w:val="ru-RU" w:bidi="ar-SA"/>
              </w:rPr>
              <w:t>Выплата за важность выполняемой работы, степень самостоятельности и ответственности при выполнении поставленных задач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проведение профилактических работ по предупреждению производственного травматизма</w:t>
            </w:r>
          </w:p>
        </w:tc>
        <w:tc>
          <w:tcPr>
            <w:tcW w:w="3543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отсутствие зафиксированных производственных травм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проведение инструктажей по соблюдению требований охраны труда</w:t>
            </w:r>
          </w:p>
        </w:tc>
        <w:tc>
          <w:tcPr>
            <w:tcW w:w="3543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проведения инструктажей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8251" w:type="dxa"/>
            <w:gridSpan w:val="3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kern w:val="0"/>
                <w:sz w:val="24"/>
                <w:szCs w:val="24"/>
                <w:lang w:val="ru-RU" w:bidi="ar-SA"/>
              </w:rPr>
              <w:t>Выплата за интенсивность и высокие результаты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оперативное реагирование и высокое качество выполнения текущих работ и дополнительных разовых поручений (не входящей в обязанности по своей должности)</w:t>
            </w:r>
          </w:p>
        </w:tc>
        <w:tc>
          <w:tcPr>
            <w:tcW w:w="3543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выполнение срочных, непредвиденных и особо важных работ, отдельных дополнительных поручений в срок и в полном объеме 100%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оперативное взаимодействие с другими ведомствами</w:t>
            </w:r>
          </w:p>
        </w:tc>
        <w:tc>
          <w:tcPr>
            <w:tcW w:w="3543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выполнение срочных, непредвиденных и особо важных работ, отдельных дополнительных поручений в срок и в полном объеме 100%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8251" w:type="dxa"/>
            <w:gridSpan w:val="3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kern w:val="0"/>
                <w:sz w:val="24"/>
                <w:szCs w:val="24"/>
                <w:lang w:val="ru-RU" w:bidi="ar-SA"/>
              </w:rPr>
              <w:t>Выплата за качество выполняемых работ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отсутствие обоснованных зафиксированных замечаний к деятельности сотрудника</w:t>
            </w:r>
          </w:p>
        </w:tc>
        <w:tc>
          <w:tcPr>
            <w:tcW w:w="3543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10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составление и предоставление отчетности по ОТ в срок и по установленным формам</w:t>
            </w:r>
          </w:p>
        </w:tc>
        <w:tc>
          <w:tcPr>
            <w:tcW w:w="3543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15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оперативное принятие мер, включая своевременное информирование руководства по устранению нарушений техники безопасности, противопожарных и иных правил, создающих угрозу деятельности учреждения, работникам</w:t>
            </w:r>
          </w:p>
        </w:tc>
        <w:tc>
          <w:tcPr>
            <w:tcW w:w="3543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15 баллов</w:t>
            </w:r>
          </w:p>
        </w:tc>
      </w:tr>
    </w:tbl>
    <w:p>
      <w:pPr>
        <w:pStyle w:val="NoSpacing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»;</w:t>
      </w:r>
    </w:p>
    <w:p>
      <w:pPr>
        <w:pStyle w:val="NoSpacing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- после строки «Механик, контролер технического состояния АТС» строку водитель автомобиля изложить в новой редакции:</w:t>
      </w:r>
    </w:p>
    <w:p>
      <w:pPr>
        <w:pStyle w:val="NoSpacing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«</w:t>
      </w:r>
    </w:p>
    <w:tbl>
      <w:tblPr>
        <w:tblStyle w:val="a9"/>
        <w:tblW w:w="9810" w:type="dxa"/>
        <w:jc w:val="left"/>
        <w:tblInd w:w="-5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558"/>
        <w:gridCol w:w="3014"/>
        <w:gridCol w:w="3543"/>
        <w:gridCol w:w="1694"/>
      </w:tblGrid>
      <w:tr>
        <w:trPr/>
        <w:tc>
          <w:tcPr>
            <w:tcW w:w="1558" w:type="dxa"/>
            <w:vMerge w:val="restart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Водитель автомобиля</w:t>
            </w:r>
          </w:p>
        </w:tc>
        <w:tc>
          <w:tcPr>
            <w:tcW w:w="8251" w:type="dxa"/>
            <w:gridSpan w:val="3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kern w:val="0"/>
                <w:sz w:val="24"/>
                <w:szCs w:val="24"/>
                <w:lang w:val="ru-RU" w:bidi="ar-SA"/>
              </w:rPr>
              <w:t>Выплата за важность выполняемой работы, степень самостоятельности и ответственности при выполнении поставленных задач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обеспечение безопасности перевозки людей, отсутствие ДТП, отсутствие нарушений ПДД</w:t>
            </w:r>
          </w:p>
        </w:tc>
        <w:tc>
          <w:tcPr>
            <w:tcW w:w="3543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30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соблюдение требований техники безопасности, пожарной безопасности и охраны труда</w:t>
            </w:r>
          </w:p>
        </w:tc>
        <w:tc>
          <w:tcPr>
            <w:tcW w:w="3543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30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8251" w:type="dxa"/>
            <w:gridSpan w:val="3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kern w:val="0"/>
                <w:sz w:val="24"/>
                <w:szCs w:val="24"/>
                <w:lang w:val="ru-RU" w:bidi="ar-SA"/>
              </w:rPr>
              <w:t>Выплата за интенсивность и высокие результаты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оперативное реагирование и высокое качество выполнения текущих работ и дополнительных разовых поручений (не входящей в обязанности по своей должности)</w:t>
            </w:r>
          </w:p>
        </w:tc>
        <w:tc>
          <w:tcPr>
            <w:tcW w:w="3543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выполнение срочных, непредвиденных и особо важных работ, отдельных дополнительных поручений в срок и в полном объеме 100%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30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8251" w:type="dxa"/>
            <w:gridSpan w:val="3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kern w:val="0"/>
                <w:sz w:val="24"/>
                <w:szCs w:val="24"/>
                <w:lang w:val="ru-RU" w:bidi="ar-SA"/>
              </w:rPr>
              <w:t>Выплата за качество выполняемых работ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отсутствие обоснованных зафиксированных замечаний к деятельности сотрудника</w:t>
            </w:r>
          </w:p>
        </w:tc>
        <w:tc>
          <w:tcPr>
            <w:tcW w:w="3543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обеспечение безаварийной эксплуатации автомобильного транспортного средства</w:t>
            </w:r>
          </w:p>
        </w:tc>
        <w:tc>
          <w:tcPr>
            <w:tcW w:w="3543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отсутствие зафиксированных случаев ДТП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содержание в чистоте и надлежащем состоянии рабочего места, транспортного средства, оборудования, приспособлений</w:t>
            </w:r>
          </w:p>
        </w:tc>
        <w:tc>
          <w:tcPr>
            <w:tcW w:w="3543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10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качество и достоверность предоставляемой отчетной и иной документации</w:t>
            </w:r>
          </w:p>
        </w:tc>
        <w:tc>
          <w:tcPr>
            <w:tcW w:w="3543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отсутствие замечаний по ведению документации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10 баллов</w:t>
            </w:r>
          </w:p>
        </w:tc>
      </w:tr>
    </w:tbl>
    <w:p>
      <w:pPr>
        <w:pStyle w:val="NoSpacing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»;</w:t>
      </w:r>
    </w:p>
    <w:p>
      <w:pPr>
        <w:pStyle w:val="NoSpacing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 xml:space="preserve">- строку «Электромонтер, слесарь-сантехник» изложить в новой редакции: </w:t>
      </w:r>
    </w:p>
    <w:p>
      <w:pPr>
        <w:pStyle w:val="NoSpacing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«</w:t>
      </w:r>
    </w:p>
    <w:tbl>
      <w:tblPr>
        <w:tblStyle w:val="a9"/>
        <w:tblW w:w="9810" w:type="dxa"/>
        <w:jc w:val="left"/>
        <w:tblInd w:w="-5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558"/>
        <w:gridCol w:w="3014"/>
        <w:gridCol w:w="3543"/>
        <w:gridCol w:w="1694"/>
      </w:tblGrid>
      <w:tr>
        <w:trPr/>
        <w:tc>
          <w:tcPr>
            <w:tcW w:w="1558" w:type="dxa"/>
            <w:vMerge w:val="restart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Слесарь-сантехник</w:t>
            </w:r>
          </w:p>
        </w:tc>
        <w:tc>
          <w:tcPr>
            <w:tcW w:w="8251" w:type="dxa"/>
            <w:gridSpan w:val="3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kern w:val="0"/>
                <w:sz w:val="24"/>
                <w:szCs w:val="24"/>
                <w:lang w:val="ru-RU" w:bidi="ar-SA"/>
              </w:rPr>
              <w:t>Выплата за важность выполняемой работы, степень самостоятельности и ответственности при выполнении поставленных задач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своевременное обслуживание в соответствии с правилами эксплуатации и бесперебойное обеспечение работы оборудования (сантехнического, электрооборудования)</w:t>
            </w:r>
          </w:p>
        </w:tc>
        <w:tc>
          <w:tcPr>
            <w:tcW w:w="3543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обеспечение надлежащего хранения и использования материальных ценностей</w:t>
            </w:r>
          </w:p>
        </w:tc>
        <w:tc>
          <w:tcPr>
            <w:tcW w:w="3543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выполнение чистки чаш бассейнов, чистки фильтров станций дозаций, фильтров насосов</w:t>
            </w:r>
          </w:p>
        </w:tc>
        <w:tc>
          <w:tcPr>
            <w:tcW w:w="3543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30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обеспечения контроля за</w:t>
            </w:r>
          </w:p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давлением на подпитке ХВС для котлов, а также на самих котлах бассейна, для</w:t>
            </w:r>
          </w:p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предотвращения подачи избыточного давления, во избежание</w:t>
            </w:r>
          </w:p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аварийной ситуации</w:t>
            </w:r>
          </w:p>
        </w:tc>
        <w:tc>
          <w:tcPr>
            <w:tcW w:w="3543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30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выполнение мелкого ремонта фильтров, насосов в здании бассейна (замена прокладок и т.п.)</w:t>
            </w:r>
          </w:p>
        </w:tc>
        <w:tc>
          <w:tcPr>
            <w:tcW w:w="3543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8251" w:type="dxa"/>
            <w:gridSpan w:val="3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kern w:val="0"/>
                <w:sz w:val="24"/>
                <w:szCs w:val="24"/>
                <w:lang w:val="ru-RU" w:bidi="ar-SA"/>
              </w:rPr>
              <w:t>Выплата за интенсивность и высокие результаты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оперативное реагирование и высокое качество выполнения текущих работ и дополнительных разовых поручений (не входящей в обязанности по своей должности)</w:t>
            </w:r>
          </w:p>
        </w:tc>
        <w:tc>
          <w:tcPr>
            <w:tcW w:w="3543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выполнение срочных, непредвиденных и особо важных работ, отдельных дополнительных поручений в срок и в полном объеме 100%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10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8251" w:type="dxa"/>
            <w:gridSpan w:val="3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kern w:val="0"/>
                <w:sz w:val="24"/>
                <w:szCs w:val="24"/>
                <w:lang w:val="ru-RU" w:bidi="ar-SA"/>
              </w:rPr>
              <w:t>Выплата за качество выполняемых работ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отсутствие обоснованных зафиксированных замечаний, претензий к качеству и срокам выполняемых работ</w:t>
            </w:r>
          </w:p>
        </w:tc>
        <w:tc>
          <w:tcPr>
            <w:tcW w:w="3543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10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качественное устранение аварийных ситуаций</w:t>
            </w:r>
          </w:p>
        </w:tc>
        <w:tc>
          <w:tcPr>
            <w:tcW w:w="3543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10 баллов</w:t>
            </w:r>
          </w:p>
        </w:tc>
      </w:tr>
      <w:tr>
        <w:trPr/>
        <w:tc>
          <w:tcPr>
            <w:tcW w:w="1558" w:type="dxa"/>
            <w:vMerge w:val="restart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Электромонтер</w:t>
            </w:r>
          </w:p>
        </w:tc>
        <w:tc>
          <w:tcPr>
            <w:tcW w:w="8251" w:type="dxa"/>
            <w:gridSpan w:val="3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kern w:val="0"/>
                <w:sz w:val="24"/>
                <w:szCs w:val="24"/>
                <w:lang w:val="ru-RU" w:bidi="ar-SA"/>
              </w:rPr>
              <w:t>Выплата за важность выполняемой работы, степень самостоятельности и ответственности при выполнении поставленных задач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своевременное обслуживание в соответствии с правилами эксплуатации и бесперебойное обеспечение работы оборудования (электрооборудования)</w:t>
            </w:r>
          </w:p>
        </w:tc>
        <w:tc>
          <w:tcPr>
            <w:tcW w:w="3543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30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обеспечение надлежащего хранения и использования материальных ценностей</w:t>
            </w:r>
          </w:p>
        </w:tc>
        <w:tc>
          <w:tcPr>
            <w:tcW w:w="3543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30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проводит монтаж, демонтаж и текущий и плановый ремонты электрических сетей и</w:t>
            </w:r>
          </w:p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электрооборудования с выполнением электротехнических работ</w:t>
            </w:r>
          </w:p>
        </w:tc>
        <w:tc>
          <w:tcPr>
            <w:tcW w:w="3543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30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8251" w:type="dxa"/>
            <w:gridSpan w:val="3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kern w:val="0"/>
                <w:sz w:val="24"/>
                <w:szCs w:val="24"/>
                <w:lang w:val="ru-RU" w:bidi="ar-SA"/>
              </w:rPr>
              <w:t>Выплата за интенсивность и высокие результаты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оперативное реагирование и высокое качество выполнения текущих работ и дополнительных разовых поручений (не входящей в обязанности по своей должности)</w:t>
            </w:r>
          </w:p>
        </w:tc>
        <w:tc>
          <w:tcPr>
            <w:tcW w:w="3543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8251" w:type="dxa"/>
            <w:gridSpan w:val="3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kern w:val="0"/>
                <w:sz w:val="24"/>
                <w:szCs w:val="24"/>
                <w:lang w:val="ru-RU" w:bidi="ar-SA"/>
              </w:rPr>
              <w:t>Выплата за качество выполняемых работ</w:t>
            </w:r>
          </w:p>
        </w:tc>
      </w:tr>
      <w:tr>
        <w:trPr>
          <w:trHeight w:val="58" w:hRule="atLeast"/>
        </w:trPr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отсутствие обоснованных зафиксированных замечаний, претензий к качеству и срокам выполняемых работ</w:t>
            </w:r>
          </w:p>
        </w:tc>
        <w:tc>
          <w:tcPr>
            <w:tcW w:w="3543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  <w:tr>
        <w:trPr/>
        <w:tc>
          <w:tcPr>
            <w:tcW w:w="1558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1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качественное устранение аварийных ситуаций</w:t>
            </w:r>
          </w:p>
        </w:tc>
        <w:tc>
          <w:tcPr>
            <w:tcW w:w="3543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</w:tbl>
    <w:p>
      <w:pPr>
        <w:pStyle w:val="NoSpacing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»;</w:t>
      </w:r>
    </w:p>
    <w:p>
      <w:pPr>
        <w:pStyle w:val="NoSpacing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- после строки «Электромонтер, слесарь-сантехник» добавить строку следующего содержания:</w:t>
      </w:r>
    </w:p>
    <w:p>
      <w:pPr>
        <w:pStyle w:val="NoSpacing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«</w:t>
      </w:r>
    </w:p>
    <w:tbl>
      <w:tblPr>
        <w:tblStyle w:val="a9"/>
        <w:tblW w:w="9810" w:type="dxa"/>
        <w:jc w:val="left"/>
        <w:tblInd w:w="-5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134"/>
        <w:gridCol w:w="3438"/>
        <w:gridCol w:w="3543"/>
        <w:gridCol w:w="1694"/>
      </w:tblGrid>
      <w:tr>
        <w:trPr/>
        <w:tc>
          <w:tcPr>
            <w:tcW w:w="1134" w:type="dxa"/>
            <w:vMerge w:val="restart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Аппаратчик химической водоочистки</w:t>
            </w:r>
          </w:p>
        </w:tc>
        <w:tc>
          <w:tcPr>
            <w:tcW w:w="8675" w:type="dxa"/>
            <w:gridSpan w:val="3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kern w:val="0"/>
                <w:sz w:val="24"/>
                <w:szCs w:val="24"/>
                <w:lang w:val="ru-RU" w:bidi="ar-SA"/>
              </w:rPr>
              <w:t>Выплата за важность выполняемой работы, степень самостоятельности и ответственности при выполнении поставленных задач</w:t>
            </w:r>
          </w:p>
        </w:tc>
      </w:tr>
      <w:tr>
        <w:trPr/>
        <w:tc>
          <w:tcPr>
            <w:tcW w:w="1134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438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ведение процесса химической очистки воды</w:t>
            </w:r>
          </w:p>
        </w:tc>
        <w:tc>
          <w:tcPr>
            <w:tcW w:w="3543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  <w:tr>
        <w:trPr/>
        <w:tc>
          <w:tcPr>
            <w:tcW w:w="1134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438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обслуживание и регулирование работы водоподготовительных агрегатов и аппаратов конден-сатоочистки</w:t>
            </w:r>
          </w:p>
        </w:tc>
        <w:tc>
          <w:tcPr>
            <w:tcW w:w="3543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  <w:tr>
        <w:trPr/>
        <w:tc>
          <w:tcPr>
            <w:tcW w:w="1134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438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регенерация реагентов, очистка и промывка аппаратуры</w:t>
            </w:r>
          </w:p>
        </w:tc>
        <w:tc>
          <w:tcPr>
            <w:tcW w:w="3543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  <w:tr>
        <w:trPr/>
        <w:tc>
          <w:tcPr>
            <w:tcW w:w="1134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438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определение показателей качества химически очищенной воды</w:t>
            </w:r>
          </w:p>
        </w:tc>
        <w:tc>
          <w:tcPr>
            <w:tcW w:w="3543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  <w:tr>
        <w:trPr/>
        <w:tc>
          <w:tcPr>
            <w:tcW w:w="1134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438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осмотр и текущий ремонт обслуживаемого оборудования и аппаратуры</w:t>
            </w:r>
          </w:p>
        </w:tc>
        <w:tc>
          <w:tcPr>
            <w:tcW w:w="3543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  <w:tr>
        <w:trPr/>
        <w:tc>
          <w:tcPr>
            <w:tcW w:w="1134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8675" w:type="dxa"/>
            <w:gridSpan w:val="3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kern w:val="0"/>
                <w:sz w:val="24"/>
                <w:szCs w:val="24"/>
                <w:lang w:val="ru-RU" w:bidi="ar-SA"/>
              </w:rPr>
              <w:t>Выплата за интенсивность и высокие результаты</w:t>
            </w:r>
          </w:p>
        </w:tc>
      </w:tr>
      <w:tr>
        <w:trPr/>
        <w:tc>
          <w:tcPr>
            <w:tcW w:w="1134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438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оперативное реагирование и высокое качество выполнения текущих работ и дополнительных разовых поручений (не входящей в обязанности по своей должности)</w:t>
            </w:r>
          </w:p>
        </w:tc>
        <w:tc>
          <w:tcPr>
            <w:tcW w:w="3543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10 баллов</w:t>
            </w:r>
          </w:p>
        </w:tc>
      </w:tr>
      <w:tr>
        <w:trPr/>
        <w:tc>
          <w:tcPr>
            <w:tcW w:w="1134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8675" w:type="dxa"/>
            <w:gridSpan w:val="3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kern w:val="0"/>
                <w:sz w:val="24"/>
                <w:szCs w:val="24"/>
                <w:lang w:val="ru-RU" w:bidi="ar-SA"/>
              </w:rPr>
              <w:t>Выплата за качество выполняемых работ</w:t>
            </w:r>
          </w:p>
        </w:tc>
      </w:tr>
      <w:tr>
        <w:trPr/>
        <w:tc>
          <w:tcPr>
            <w:tcW w:w="1134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438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отсутствие обоснованных зафиксированных замечаний к деятельности сотрудника</w:t>
            </w:r>
          </w:p>
        </w:tc>
        <w:tc>
          <w:tcPr>
            <w:tcW w:w="3543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10 баллов</w:t>
            </w:r>
          </w:p>
        </w:tc>
      </w:tr>
      <w:tr>
        <w:trPr/>
        <w:tc>
          <w:tcPr>
            <w:tcW w:w="1134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438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соблюдение качества выполняемых работ в части выполнения возложенных функциональных обязанностей</w:t>
            </w:r>
          </w:p>
        </w:tc>
        <w:tc>
          <w:tcPr>
            <w:tcW w:w="3543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94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10 баллов</w:t>
            </w:r>
          </w:p>
        </w:tc>
      </w:tr>
    </w:tbl>
    <w:p>
      <w:pPr>
        <w:pStyle w:val="NoSpacing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».</w:t>
      </w:r>
    </w:p>
    <w:p>
      <w:pPr>
        <w:pStyle w:val="NoSpacing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1.1.6. Подпункт 6.2.2. пункта 6.2. раздела 6 «Выплаты стимулирующего характера для работников центра физкультурно-спортивной подготовки (за исключением руководителя учреждения и его заместителей)» дополнить Таблицей 12а следующего содержания:</w:t>
      </w:r>
    </w:p>
    <w:p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«</w:t>
      </w:r>
    </w:p>
    <w:p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Стимулирующие выплаты</w:t>
      </w:r>
    </w:p>
    <w:p>
      <w:pPr>
        <w:pStyle w:val="Normal"/>
        <w:spacing w:lineRule="auto" w:line="240" w:before="0"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(за важность выполняемой работы, степень самостоятельности и ответственности при выполнении поставленных задач, за качество выполняемых работ, за интенсивность и высокие результаты работы) работникам бассейна МАУ «ЦФСП» </w:t>
      </w:r>
    </w:p>
    <w:p>
      <w:pPr>
        <w:pStyle w:val="Normal"/>
        <w:spacing w:lineRule="auto" w:line="240" w:before="0" w:after="0"/>
        <w:ind w:firstLine="42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        </w:t>
      </w:r>
      <w:r>
        <w:rPr>
          <w:rFonts w:cs="Times New Roman" w:ascii="Times New Roman" w:hAnsi="Times New Roman"/>
          <w:sz w:val="24"/>
          <w:szCs w:val="24"/>
        </w:rPr>
        <w:t>Таблица 12а</w:t>
      </w:r>
    </w:p>
    <w:tbl>
      <w:tblPr>
        <w:tblStyle w:val="a9"/>
        <w:tblW w:w="9781" w:type="dxa"/>
        <w:jc w:val="left"/>
        <w:tblInd w:w="-5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731"/>
        <w:gridCol w:w="2927"/>
        <w:gridCol w:w="3465"/>
        <w:gridCol w:w="1657"/>
      </w:tblGrid>
      <w:tr>
        <w:trPr/>
        <w:tc>
          <w:tcPr>
            <w:tcW w:w="1731" w:type="dxa"/>
            <w:vMerge w:val="restart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Начальник структурного подразделения</w:t>
            </w:r>
          </w:p>
        </w:tc>
        <w:tc>
          <w:tcPr>
            <w:tcW w:w="8049" w:type="dxa"/>
            <w:gridSpan w:val="3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kern w:val="0"/>
                <w:sz w:val="24"/>
                <w:szCs w:val="24"/>
                <w:lang w:val="ru-RU" w:bidi="ar-SA"/>
              </w:rPr>
              <w:t>Выплата за важность выполняемой работы, степень самостоятельности и ответственности при выполнении поставленных задач</w:t>
            </w:r>
          </w:p>
        </w:tc>
      </w:tr>
      <w:tr>
        <w:trPr/>
        <w:tc>
          <w:tcPr>
            <w:tcW w:w="1731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927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планирование, реализация, контроль деятельности и развитие подразделения организации</w:t>
            </w:r>
          </w:p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465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57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  <w:tr>
        <w:trPr/>
        <w:tc>
          <w:tcPr>
            <w:tcW w:w="1731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927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надлежащее и своевременное обеспечение санитарно-гигиенических условий в подразделении</w:t>
            </w:r>
          </w:p>
        </w:tc>
        <w:tc>
          <w:tcPr>
            <w:tcW w:w="3465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57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  <w:tr>
        <w:trPr/>
        <w:tc>
          <w:tcPr>
            <w:tcW w:w="1731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927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проведение мероприятий по физической культуре и массовому спорту, включая воспитательные мероприятия в соответствии с утвержденными планами</w:t>
            </w:r>
          </w:p>
        </w:tc>
        <w:tc>
          <w:tcPr>
            <w:tcW w:w="3465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зафиксированных дисциплинарных нарушений</w:t>
            </w:r>
          </w:p>
        </w:tc>
        <w:tc>
          <w:tcPr>
            <w:tcW w:w="1657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  <w:tr>
        <w:trPr/>
        <w:tc>
          <w:tcPr>
            <w:tcW w:w="1731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927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подготовка отчетной документации по управлению структурным подразделением по физической культуре и массовому спорту, в том числе с применением информационных систем</w:t>
            </w:r>
          </w:p>
        </w:tc>
        <w:tc>
          <w:tcPr>
            <w:tcW w:w="3465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57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  <w:tr>
        <w:trPr/>
        <w:tc>
          <w:tcPr>
            <w:tcW w:w="1731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927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организация и развитие структурного подразделения, реализующего физкультурно-оздоровительную, физкультурно-спортивную деятельность</w:t>
            </w:r>
          </w:p>
        </w:tc>
        <w:tc>
          <w:tcPr>
            <w:tcW w:w="3465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57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  <w:tr>
        <w:trPr/>
        <w:tc>
          <w:tcPr>
            <w:tcW w:w="1731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927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организация разработки документов по операционному управлению</w:t>
            </w:r>
          </w:p>
        </w:tc>
        <w:tc>
          <w:tcPr>
            <w:tcW w:w="3465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57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  <w:tr>
        <w:trPr/>
        <w:tc>
          <w:tcPr>
            <w:tcW w:w="1731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927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планирование материально-технического обеспечения и кадровых ресурсов структурного подразделения</w:t>
            </w:r>
          </w:p>
        </w:tc>
        <w:tc>
          <w:tcPr>
            <w:tcW w:w="3465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57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  <w:tr>
        <w:trPr/>
        <w:tc>
          <w:tcPr>
            <w:tcW w:w="1731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927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контролирование расходов на ресурсное обеспечение с учетом исполнения планов и утвержденных бюджетов организации</w:t>
            </w:r>
          </w:p>
        </w:tc>
        <w:tc>
          <w:tcPr>
            <w:tcW w:w="3465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57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  <w:tr>
        <w:trPr/>
        <w:tc>
          <w:tcPr>
            <w:tcW w:w="1731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</w:r>
          </w:p>
        </w:tc>
        <w:tc>
          <w:tcPr>
            <w:tcW w:w="8049" w:type="dxa"/>
            <w:gridSpan w:val="3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kern w:val="0"/>
                <w:sz w:val="24"/>
                <w:szCs w:val="24"/>
                <w:lang w:val="ru-RU" w:bidi="ar-SA"/>
              </w:rPr>
              <w:t>Выплата за интенсивность и высокие результаты</w:t>
            </w:r>
          </w:p>
        </w:tc>
      </w:tr>
      <w:tr>
        <w:trPr/>
        <w:tc>
          <w:tcPr>
            <w:tcW w:w="1731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927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оперативное реагирование и высокое качество выполнения текущих работ и дополнительных разовых поручений (не входящей в обязанности по своей должности)</w:t>
            </w:r>
          </w:p>
        </w:tc>
        <w:tc>
          <w:tcPr>
            <w:tcW w:w="3465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выполнение срочных, непредвиденных и особо важных работ, отдельных дополнительных поручений в срок и в полном объеме 100%</w:t>
            </w:r>
          </w:p>
        </w:tc>
        <w:tc>
          <w:tcPr>
            <w:tcW w:w="1657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  <w:tr>
        <w:trPr/>
        <w:tc>
          <w:tcPr>
            <w:tcW w:w="1731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</w:r>
          </w:p>
        </w:tc>
        <w:tc>
          <w:tcPr>
            <w:tcW w:w="8049" w:type="dxa"/>
            <w:gridSpan w:val="3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kern w:val="0"/>
                <w:sz w:val="24"/>
                <w:szCs w:val="24"/>
                <w:lang w:val="ru-RU" w:bidi="ar-SA"/>
              </w:rPr>
              <w:t>Выплата за качество выполняемых работ</w:t>
            </w:r>
          </w:p>
        </w:tc>
      </w:tr>
      <w:tr>
        <w:trPr/>
        <w:tc>
          <w:tcPr>
            <w:tcW w:w="1731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927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отсутствие обоснованных зафиксированных замечаний к деятельности сотрудника</w:t>
            </w:r>
          </w:p>
        </w:tc>
        <w:tc>
          <w:tcPr>
            <w:tcW w:w="3465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57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10 баллов</w:t>
            </w:r>
          </w:p>
        </w:tc>
      </w:tr>
      <w:tr>
        <w:trPr/>
        <w:tc>
          <w:tcPr>
            <w:tcW w:w="1731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927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стабильная деятельность подразделения</w:t>
            </w:r>
          </w:p>
        </w:tc>
        <w:tc>
          <w:tcPr>
            <w:tcW w:w="3465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57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10 баллов</w:t>
            </w:r>
          </w:p>
        </w:tc>
      </w:tr>
      <w:tr>
        <w:trPr/>
        <w:tc>
          <w:tcPr>
            <w:tcW w:w="1731" w:type="dxa"/>
            <w:vMerge w:val="continue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927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соблюдение в подразделении требований норм охраны труда и противопожарной безопасности</w:t>
            </w:r>
          </w:p>
        </w:tc>
        <w:tc>
          <w:tcPr>
            <w:tcW w:w="3465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ежемесячно: оценивается по факту отсутствия обоснованных зафиксированных замечаний</w:t>
            </w:r>
          </w:p>
        </w:tc>
        <w:tc>
          <w:tcPr>
            <w:tcW w:w="1657" w:type="dxa"/>
            <w:tcBorders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20 баллов</w:t>
            </w:r>
          </w:p>
        </w:tc>
      </w:tr>
    </w:tbl>
    <w:p>
      <w:pPr>
        <w:pStyle w:val="NoSpacing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».</w:t>
      </w:r>
    </w:p>
    <w:p>
      <w:pPr>
        <w:pStyle w:val="NoSpacing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1.1.7. Пункт 6.2. раздела 6 «Выплаты стимулирующего характера для работников центра физкультурно-спортивной подготовки (за исключением руководителя учреждения и его заместителей)» дополнить пунктом 6.2.3. следующего содержания: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«</w:t>
      </w:r>
      <w:r>
        <w:rPr>
          <w:rFonts w:cs="Times New Roman" w:ascii="Times New Roman" w:hAnsi="Times New Roman"/>
          <w:sz w:val="26"/>
          <w:szCs w:val="26"/>
        </w:rPr>
        <w:t>6.2.3. Персональная выплата в целях повышения средней заработной платы отдельных категорий работников Учреждения устанавливается в целях повышения уровня оплаты труда.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Начальнику структурного подразделения бассейна Учреждения предоставляется персональная выплата, максимальный размер которой при полностью отработанной норме рабочего времени и выполненной норме труда (трудовых обязанностей) составляет 2243 (две тысячи двести сорок три) рубля 00 копеек.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Начальнику структурного подразделения Учреждения при не полностью отработанной норме рабочего времени размер персональной выплаты исчисляется пропорционально отработанному работником времени.</w:t>
      </w:r>
    </w:p>
    <w:p>
      <w:pPr>
        <w:pStyle w:val="NoSpacing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На персональную выплату начисляются районный коэффициент, процентная надбавка к заработной плате за стаж работы в районах Крайнего Севера и приравненных к ним местностях и иных местностях с особыми климатическими условиями».</w:t>
      </w:r>
    </w:p>
    <w:p>
      <w:pPr>
        <w:pStyle w:val="NoSpacing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1.1.8. В таблице 13 п</w:t>
      </w:r>
      <w:r>
        <w:rPr>
          <w:rFonts w:cs="Times New Roman" w:ascii="Times New Roman" w:hAnsi="Times New Roman"/>
          <w:bCs/>
          <w:sz w:val="26"/>
          <w:szCs w:val="26"/>
        </w:rPr>
        <w:t>ункта 6.3. раздела 6 «Выплаты стимулирующего характера для работников центра физкультурно-спортивной подготовки (за исключением руководителя учреждения и его заместителей)»:</w:t>
      </w:r>
    </w:p>
    <w:p>
      <w:pPr>
        <w:pStyle w:val="NoSpacing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- строку «Главный инженер» изложить в следующей редакции:</w:t>
      </w:r>
    </w:p>
    <w:p>
      <w:pPr>
        <w:pStyle w:val="NoSpacing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«</w:t>
      </w:r>
    </w:p>
    <w:tbl>
      <w:tblPr>
        <w:tblW w:w="9356" w:type="dxa"/>
        <w:jc w:val="left"/>
        <w:tblInd w:w="75" w:type="dxa"/>
        <w:tblLayout w:type="fixed"/>
        <w:tblCellMar>
          <w:top w:w="0" w:type="dxa"/>
          <w:left w:w="75" w:type="dxa"/>
          <w:bottom w:w="0" w:type="dxa"/>
          <w:right w:w="75" w:type="dxa"/>
        </w:tblCellMar>
        <w:tblLook w:firstRow="0" w:noVBand="0" w:lastRow="0" w:firstColumn="0" w:lastColumn="0" w:noHBand="0" w:val="0000"/>
      </w:tblPr>
      <w:tblGrid>
        <w:gridCol w:w="1418"/>
        <w:gridCol w:w="3826"/>
        <w:gridCol w:w="2693"/>
        <w:gridCol w:w="1418"/>
      </w:tblGrid>
      <w:tr>
        <w:trPr>
          <w:trHeight w:val="520" w:hRule="atLeast"/>
        </w:trPr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Главный инженер, ведущий инженер-энергетик, системный администратор, техник-лаборант, администратор, старший администратор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успешное и добросовестное   </w:t>
            </w:r>
          </w:p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исполнение   профессиональной </w:t>
            </w:r>
          </w:p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деятельности 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ind w:firstLine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отсутствие обоснованных   </w:t>
            </w:r>
          </w:p>
          <w:p>
            <w:pPr>
              <w:pStyle w:val="ConsPlusCell"/>
              <w:widowControl w:val="false"/>
              <w:ind w:firstLine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зафиксированных замечаний     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10</w:t>
            </w:r>
          </w:p>
        </w:tc>
      </w:tr>
      <w:tr>
        <w:trPr>
          <w:trHeight w:val="520" w:hRule="atLeast"/>
        </w:trPr>
        <w:tc>
          <w:tcPr>
            <w:tcW w:w="1418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своевременное и качественное исполнение и предоставление запрашиваемой у учреждения информации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ind w:firstLine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отсутствие обоснованных   </w:t>
            </w:r>
          </w:p>
          <w:p>
            <w:pPr>
              <w:pStyle w:val="ConsPlusCell"/>
              <w:widowControl w:val="false"/>
              <w:ind w:firstLine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зафиксированных замечаний      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10</w:t>
            </w:r>
          </w:p>
        </w:tc>
      </w:tr>
      <w:tr>
        <w:trPr>
          <w:trHeight w:val="520" w:hRule="atLeast"/>
        </w:trPr>
        <w:tc>
          <w:tcPr>
            <w:tcW w:w="1418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соблюдение регламентов,     </w:t>
            </w:r>
          </w:p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стандартов, технологий,      </w:t>
            </w:r>
          </w:p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требований при   выполнении работ, оказании услуг   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ind w:firstLine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отсутствие обоснованных   </w:t>
            </w:r>
          </w:p>
          <w:p>
            <w:pPr>
              <w:pStyle w:val="ConsPlusCell"/>
              <w:widowControl w:val="false"/>
              <w:ind w:firstLine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зафиксированных замечаний      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10</w:t>
            </w:r>
          </w:p>
        </w:tc>
      </w:tr>
      <w:tr>
        <w:trPr>
          <w:trHeight w:val="520" w:hRule="atLeast"/>
        </w:trPr>
        <w:tc>
          <w:tcPr>
            <w:tcW w:w="1418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качественная подготовка и     </w:t>
            </w:r>
          </w:p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своевременная  сдача отчетности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ind w:firstLine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отсутствие обоснованных   </w:t>
            </w:r>
          </w:p>
          <w:p>
            <w:pPr>
              <w:pStyle w:val="ConsPlusCell"/>
              <w:widowControl w:val="false"/>
              <w:ind w:firstLine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зафиксированных замечаний      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10</w:t>
            </w:r>
          </w:p>
        </w:tc>
      </w:tr>
    </w:tbl>
    <w:p>
      <w:pPr>
        <w:pStyle w:val="NoSpacing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»;</w:t>
      </w:r>
    </w:p>
    <w:p>
      <w:pPr>
        <w:pStyle w:val="NoSpacing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- строку «</w:t>
      </w:r>
      <w:r>
        <w:rPr>
          <w:rFonts w:cs="Times New Roman" w:ascii="Times New Roman" w:hAnsi="Times New Roman"/>
          <w:sz w:val="26"/>
          <w:szCs w:val="26"/>
        </w:rPr>
        <w:t>Плотник, рабочий по комплексному обслуживанию зданий, электромонтер, слесарь-сантехник, гардеробщик, уборщик служебного помещения, вахтер, сторож, дворник» изложить в следующей редакции:</w:t>
      </w:r>
    </w:p>
    <w:p>
      <w:pPr>
        <w:pStyle w:val="NoSpacing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«</w:t>
      </w:r>
    </w:p>
    <w:tbl>
      <w:tblPr>
        <w:tblW w:w="9356" w:type="dxa"/>
        <w:jc w:val="left"/>
        <w:tblInd w:w="75" w:type="dxa"/>
        <w:tblLayout w:type="fixed"/>
        <w:tblCellMar>
          <w:top w:w="0" w:type="dxa"/>
          <w:left w:w="75" w:type="dxa"/>
          <w:bottom w:w="0" w:type="dxa"/>
          <w:right w:w="75" w:type="dxa"/>
        </w:tblCellMar>
        <w:tblLook w:firstRow="0" w:noVBand="0" w:lastRow="0" w:firstColumn="0" w:lastColumn="0" w:noHBand="0" w:val="0000"/>
      </w:tblPr>
      <w:tblGrid>
        <w:gridCol w:w="1418"/>
        <w:gridCol w:w="3826"/>
        <w:gridCol w:w="2693"/>
        <w:gridCol w:w="1418"/>
      </w:tblGrid>
      <w:tr>
        <w:trPr>
          <w:trHeight w:val="785" w:hRule="atLeast"/>
        </w:trPr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Плотник, рабочий по комплексному обслуживанию зданий, электромонтер, слесарь-сантехник, гардеробщик, уборщик служебного помещения, вахтер, сторож, дворник, аппаратчик химической водоочистки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успешное и  добросовестное   </w:t>
              <w:br/>
              <w:t xml:space="preserve">исполнение   профессиональной </w:t>
              <w:br/>
              <w:t xml:space="preserve">деятельности 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ind w:firstLine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отсутствие  обоснованных   </w:t>
              <w:br/>
              <w:t xml:space="preserve">зафиксированных замечаний     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10</w:t>
            </w:r>
          </w:p>
        </w:tc>
      </w:tr>
      <w:tr>
        <w:trPr>
          <w:trHeight w:val="785" w:hRule="atLeast"/>
        </w:trPr>
        <w:tc>
          <w:tcPr>
            <w:tcW w:w="1418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качество и своевременность выполнения важных и срочных заданий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ind w:firstLine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отсутствие  обоснованных   </w:t>
              <w:br/>
              <w:t xml:space="preserve">зафиксированных замечаний     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10</w:t>
            </w:r>
          </w:p>
        </w:tc>
      </w:tr>
      <w:tr>
        <w:trPr>
          <w:trHeight w:val="785" w:hRule="atLeast"/>
        </w:trPr>
        <w:tc>
          <w:tcPr>
            <w:tcW w:w="1418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соблюдение требований техники безопасности, пожарной безопасности и охраны труда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ind w:firstLine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отсутствие  обоснованных   </w:t>
              <w:br/>
              <w:t xml:space="preserve">зафиксированных замечаний     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10</w:t>
            </w:r>
          </w:p>
        </w:tc>
      </w:tr>
    </w:tbl>
    <w:p>
      <w:pPr>
        <w:pStyle w:val="NoSpacing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».</w:t>
      </w:r>
    </w:p>
    <w:p>
      <w:pPr>
        <w:pStyle w:val="NoSpacing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1.1.9. Подпункт 6.4.2.1. пункта 6.4. раздела 6 «Выплаты стимулирующего характера для работников центра физкультурно-спортивной подготовки (за исключением руководителя учреждения и его заместителей)» - исключить.</w:t>
      </w:r>
    </w:p>
    <w:p>
      <w:pPr>
        <w:pStyle w:val="NoSpacing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1.1.10. Таблицу 18 подпункта 8.5.1. пункта 8.5. раздела 8 «Оплата труда руководителя учреждений молодежной политики» изложить в следующей редакции:</w:t>
      </w:r>
    </w:p>
    <w:p>
      <w:pPr>
        <w:pStyle w:val="NoSpacing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 xml:space="preserve">« </w:t>
      </w:r>
    </w:p>
    <w:p>
      <w:pPr>
        <w:pStyle w:val="NoSpacing"/>
        <w:ind w:firstLine="567"/>
        <w:jc w:val="right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Таблица 18</w:t>
      </w:r>
    </w:p>
    <w:tbl>
      <w:tblPr>
        <w:tblW w:w="9276" w:type="dxa"/>
        <w:jc w:val="left"/>
        <w:tblInd w:w="75" w:type="dxa"/>
        <w:tblLayout w:type="fixed"/>
        <w:tblCellMar>
          <w:top w:w="0" w:type="dxa"/>
          <w:left w:w="75" w:type="dxa"/>
          <w:bottom w:w="0" w:type="dxa"/>
          <w:right w:w="75" w:type="dxa"/>
        </w:tblCellMar>
        <w:tblLook w:firstRow="0" w:noVBand="0" w:lastRow="0" w:firstColumn="0" w:lastColumn="0" w:noHBand="0" w:val="0000"/>
      </w:tblPr>
      <w:tblGrid>
        <w:gridCol w:w="993"/>
        <w:gridCol w:w="2409"/>
        <w:gridCol w:w="2694"/>
        <w:gridCol w:w="1619"/>
        <w:gridCol w:w="1561"/>
      </w:tblGrid>
      <w:tr>
        <w:trPr>
          <w:trHeight w:val="320" w:hRule="atLeast"/>
        </w:trPr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Наименование должности</w:t>
            </w:r>
          </w:p>
        </w:tc>
        <w:tc>
          <w:tcPr>
            <w:tcW w:w="24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Критерии оценки результативности и качества деятельности учреждений </w:t>
            </w:r>
          </w:p>
        </w:tc>
        <w:tc>
          <w:tcPr>
            <w:tcW w:w="43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Условия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Предельный размер к окладу (должностному окладу), ставке заработной платы</w:t>
            </w:r>
          </w:p>
        </w:tc>
      </w:tr>
      <w:tr>
        <w:trPr>
          <w:trHeight w:val="325" w:hRule="atLeast"/>
        </w:trPr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40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cs="Times New Roman" w:ascii="Times New Roman" w:hAnsi="Times New Roman"/>
                <w:sz w:val="25"/>
                <w:szCs w:val="25"/>
              </w:rPr>
              <w:t>индикатор</w:t>
            </w:r>
          </w:p>
        </w:tc>
        <w:tc>
          <w:tcPr>
            <w:tcW w:w="156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cs="Times New Roman" w:ascii="Times New Roman" w:hAnsi="Times New Roman"/>
                <w:sz w:val="25"/>
                <w:szCs w:val="25"/>
              </w:rPr>
            </w:r>
          </w:p>
        </w:tc>
      </w:tr>
      <w:tr>
        <w:trPr/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cs="Times New Roman" w:ascii="Times New Roman" w:hAnsi="Times New Roman"/>
                <w:sz w:val="25"/>
                <w:szCs w:val="25"/>
              </w:rPr>
              <w:t>4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cs="Times New Roman" w:ascii="Times New Roman" w:hAnsi="Times New Roman"/>
                <w:sz w:val="25"/>
                <w:szCs w:val="25"/>
              </w:rPr>
              <w:t>5</w:t>
            </w:r>
          </w:p>
        </w:tc>
      </w:tr>
      <w:tr>
        <w:trPr/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Руководитель</w:t>
            </w:r>
          </w:p>
        </w:tc>
        <w:tc>
          <w:tcPr>
            <w:tcW w:w="82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Выплаты за важность выполняемой работы, степень самостоятельности и ответственности при выполнении поставленных задач</w:t>
            </w:r>
          </w:p>
        </w:tc>
      </w:tr>
      <w:tr>
        <w:trPr>
          <w:trHeight w:val="997" w:hRule="atLeast"/>
        </w:trPr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4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Эффективное управление учреждением</w:t>
            </w:r>
          </w:p>
        </w:tc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Выполнение мероприятий, предусмотренных планом работы за отчетный месяц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eastAsia="Calibri" w:cs="Times New Roman"/>
                <w:sz w:val="25"/>
                <w:szCs w:val="25"/>
              </w:rPr>
            </w:pPr>
            <w:r>
              <w:rPr>
                <w:rFonts w:eastAsia="Calibri" w:cs="Times New Roman" w:ascii="Times New Roman" w:hAnsi="Times New Roman"/>
                <w:sz w:val="25"/>
                <w:szCs w:val="25"/>
              </w:rPr>
              <w:t>90% - 99%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eastAsia="Calibri" w:cs="Times New Roman"/>
                <w:sz w:val="25"/>
                <w:szCs w:val="25"/>
              </w:rPr>
            </w:pPr>
            <w:r>
              <w:rPr>
                <w:rFonts w:eastAsia="Calibri" w:cs="Times New Roman" w:ascii="Times New Roman" w:hAnsi="Times New Roman"/>
                <w:sz w:val="25"/>
                <w:szCs w:val="25"/>
              </w:rPr>
              <w:t>10%</w:t>
            </w:r>
          </w:p>
        </w:tc>
      </w:tr>
      <w:tr>
        <w:trPr>
          <w:trHeight w:val="58" w:hRule="atLeast"/>
        </w:trPr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40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694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eastAsia="Calibri" w:cs="Times New Roman"/>
                <w:sz w:val="25"/>
                <w:szCs w:val="25"/>
              </w:rPr>
            </w:pPr>
            <w:r>
              <w:rPr>
                <w:rFonts w:eastAsia="Calibri" w:cs="Times New Roman" w:ascii="Times New Roman" w:hAnsi="Times New Roman"/>
                <w:sz w:val="25"/>
                <w:szCs w:val="25"/>
              </w:rPr>
              <w:t>100%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eastAsia="Calibri" w:cs="Times New Roman"/>
                <w:sz w:val="25"/>
                <w:szCs w:val="25"/>
              </w:rPr>
            </w:pPr>
            <w:r>
              <w:rPr>
                <w:rFonts w:eastAsia="Calibri" w:cs="Times New Roman" w:ascii="Times New Roman" w:hAnsi="Times New Roman"/>
                <w:sz w:val="25"/>
                <w:szCs w:val="25"/>
              </w:rPr>
              <w:t>20%</w:t>
            </w:r>
          </w:p>
        </w:tc>
      </w:tr>
      <w:tr>
        <w:trPr>
          <w:trHeight w:val="1437" w:hRule="atLeast"/>
        </w:trPr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40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Выполнение показателей,</w:t>
              <w:br/>
              <w:t>установленных муниципальным заданием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cs="Times New Roman" w:ascii="Times New Roman" w:hAnsi="Times New Roman"/>
                <w:sz w:val="25"/>
                <w:szCs w:val="25"/>
              </w:rPr>
              <w:t>90 - 100%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cs="Times New Roman" w:ascii="Times New Roman" w:hAnsi="Times New Roman"/>
                <w:sz w:val="25"/>
                <w:szCs w:val="25"/>
              </w:rPr>
              <w:t>20%</w:t>
            </w:r>
          </w:p>
        </w:tc>
      </w:tr>
      <w:tr>
        <w:trPr>
          <w:trHeight w:val="862" w:hRule="atLeast"/>
        </w:trPr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40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Выполнение плана финансово-хозяйственной деятельности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cs="Times New Roman" w:ascii="Times New Roman" w:hAnsi="Times New Roman"/>
                <w:sz w:val="25"/>
                <w:szCs w:val="25"/>
              </w:rPr>
              <w:t>не менее 80% и не более 90%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cs="Times New Roman" w:ascii="Times New Roman" w:hAnsi="Times New Roman"/>
                <w:sz w:val="25"/>
                <w:szCs w:val="25"/>
              </w:rPr>
              <w:t>5%</w:t>
            </w:r>
          </w:p>
        </w:tc>
      </w:tr>
      <w:tr>
        <w:trPr>
          <w:trHeight w:val="118" w:hRule="atLeast"/>
        </w:trPr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40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694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cs="Times New Roman" w:ascii="Times New Roman" w:hAnsi="Times New Roman"/>
                <w:sz w:val="25"/>
                <w:szCs w:val="25"/>
              </w:rPr>
              <w:t>более 90%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cs="Times New Roman" w:ascii="Times New Roman" w:hAnsi="Times New Roman"/>
                <w:sz w:val="25"/>
                <w:szCs w:val="25"/>
              </w:rPr>
              <w:t>15%</w:t>
            </w:r>
          </w:p>
        </w:tc>
      </w:tr>
      <w:tr>
        <w:trPr>
          <w:trHeight w:val="118" w:hRule="atLeast"/>
        </w:trPr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4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Обеспечение стабильного функционирования учреждения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Обеспечение безопасных и комфортных условий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cs="Times New Roman" w:ascii="Times New Roman" w:hAnsi="Times New Roman"/>
                <w:sz w:val="25"/>
                <w:szCs w:val="25"/>
              </w:rPr>
              <w:t>Отсутствие травм, несчастных случаев, обоснованных предписаний органов надзора и контроля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cs="Times New Roman" w:ascii="Times New Roman" w:hAnsi="Times New Roman"/>
                <w:sz w:val="25"/>
                <w:szCs w:val="25"/>
              </w:rPr>
              <w:t>20%</w:t>
            </w:r>
          </w:p>
        </w:tc>
      </w:tr>
      <w:tr>
        <w:trPr>
          <w:trHeight w:val="1656" w:hRule="atLeast"/>
        </w:trPr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40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Отсутствие аварийных ситуаций в работе инженерных и хозяйственно-эксплуатационных систем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cs="Times New Roman" w:ascii="Times New Roman" w:hAnsi="Times New Roman"/>
                <w:sz w:val="25"/>
                <w:szCs w:val="25"/>
              </w:rPr>
              <w:t>Отсутствие случаев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cs="Times New Roman" w:ascii="Times New Roman" w:hAnsi="Times New Roman"/>
                <w:sz w:val="25"/>
                <w:szCs w:val="25"/>
              </w:rPr>
              <w:t>10%</w:t>
            </w:r>
          </w:p>
        </w:tc>
      </w:tr>
      <w:tr>
        <w:trPr>
          <w:trHeight w:val="118" w:hRule="atLeast"/>
        </w:trPr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4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Методическая  деятельность      </w:t>
              <w:br/>
              <w:t>учреждения</w:t>
            </w:r>
          </w:p>
        </w:tc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Проведение методических совещаний/семинаров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cs="Times New Roman" w:ascii="Times New Roman" w:hAnsi="Times New Roman"/>
                <w:sz w:val="25"/>
                <w:szCs w:val="25"/>
              </w:rPr>
              <w:t>Количество совещаний/ семинаров от 1 до 3-х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cs="Times New Roman" w:ascii="Times New Roman" w:hAnsi="Times New Roman"/>
                <w:sz w:val="25"/>
                <w:szCs w:val="25"/>
              </w:rPr>
              <w:t>10%</w:t>
            </w:r>
          </w:p>
        </w:tc>
      </w:tr>
      <w:tr>
        <w:trPr>
          <w:trHeight w:val="76" w:hRule="atLeast"/>
        </w:trPr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40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694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cs="Times New Roman" w:ascii="Times New Roman" w:hAnsi="Times New Roman"/>
                <w:sz w:val="25"/>
                <w:szCs w:val="25"/>
              </w:rPr>
              <w:t>свыше 3-х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cs="Times New Roman" w:ascii="Times New Roman" w:hAnsi="Times New Roman"/>
                <w:sz w:val="25"/>
                <w:szCs w:val="25"/>
              </w:rPr>
              <w:t>20%</w:t>
            </w:r>
          </w:p>
        </w:tc>
      </w:tr>
      <w:tr>
        <w:trPr>
          <w:trHeight w:val="1104" w:hRule="atLeast"/>
        </w:trPr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4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Подготовка и размещение информации</w:t>
            </w:r>
          </w:p>
        </w:tc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Наличие публикаций в СМИ и мессенджерах  информации о подготовке и проведения мероприятий, связанных с уставной деятельностью учреждения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cs="Times New Roman" w:ascii="Times New Roman" w:hAnsi="Times New Roman"/>
                <w:sz w:val="25"/>
                <w:szCs w:val="25"/>
              </w:rPr>
              <w:t xml:space="preserve">Количество        </w:t>
              <w:br/>
              <w:t>публикаций – 10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cs="Times New Roman" w:ascii="Times New Roman" w:hAnsi="Times New Roman"/>
                <w:sz w:val="25"/>
                <w:szCs w:val="25"/>
              </w:rPr>
              <w:t>10%</w:t>
            </w:r>
          </w:p>
        </w:tc>
      </w:tr>
      <w:tr>
        <w:trPr>
          <w:trHeight w:val="627" w:hRule="atLeast"/>
        </w:trPr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40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694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cs="Times New Roman" w:ascii="Times New Roman" w:hAnsi="Times New Roman"/>
                <w:sz w:val="25"/>
                <w:szCs w:val="25"/>
              </w:rPr>
              <w:t>свыше 11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cs="Times New Roman" w:ascii="Times New Roman" w:hAnsi="Times New Roman"/>
                <w:sz w:val="25"/>
                <w:szCs w:val="25"/>
              </w:rPr>
              <w:t>20%</w:t>
            </w:r>
          </w:p>
        </w:tc>
      </w:tr>
      <w:tr>
        <w:trPr>
          <w:trHeight w:val="220" w:hRule="atLeast"/>
        </w:trPr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4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1440" w:leader="none"/>
              </w:tabs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Результативность деятельности учреждения</w:t>
            </w:r>
          </w:p>
        </w:tc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Наличие призовых мест на соревнованиях  </w:t>
            </w:r>
            <w:r>
              <w:rPr>
                <w:rFonts w:cs="Times New Roman" w:ascii="Times New Roman" w:hAnsi="Times New Roman"/>
                <w:iCs/>
                <w:sz w:val="24"/>
                <w:szCs w:val="24"/>
              </w:rPr>
              <w:t>различного уровня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rPr>
                <w:rFonts w:ascii="Times New Roman" w:hAnsi="Times New Roman" w:eastAsia="Calibri" w:cs="Times New Roman"/>
                <w:sz w:val="25"/>
                <w:szCs w:val="25"/>
                <w:lang w:eastAsia="en-US"/>
              </w:rPr>
            </w:pPr>
            <w:r>
              <w:rPr>
                <w:rFonts w:eastAsia="Calibri" w:cs="Times New Roman" w:ascii="Times New Roman" w:hAnsi="Times New Roman"/>
                <w:sz w:val="25"/>
                <w:szCs w:val="25"/>
                <w:lang w:eastAsia="en-US"/>
              </w:rPr>
              <w:t xml:space="preserve">1 место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rPr>
                <w:rFonts w:ascii="Times New Roman" w:hAnsi="Times New Roman" w:eastAsia="Calibri" w:cs="Times New Roman"/>
                <w:sz w:val="25"/>
                <w:szCs w:val="25"/>
                <w:lang w:eastAsia="en-US"/>
              </w:rPr>
            </w:pPr>
            <w:r>
              <w:rPr>
                <w:rFonts w:eastAsia="Calibri" w:cs="Times New Roman" w:ascii="Times New Roman" w:hAnsi="Times New Roman"/>
                <w:sz w:val="25"/>
                <w:szCs w:val="25"/>
                <w:lang w:eastAsia="en-US"/>
              </w:rPr>
              <w:t>7%</w:t>
            </w:r>
          </w:p>
        </w:tc>
      </w:tr>
      <w:tr>
        <w:trPr>
          <w:trHeight w:val="58" w:hRule="atLeast"/>
        </w:trPr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40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1440" w:leader="none"/>
              </w:tabs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694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rPr>
                <w:rFonts w:ascii="Times New Roman" w:hAnsi="Times New Roman" w:eastAsia="Calibri" w:cs="Times New Roman"/>
                <w:sz w:val="25"/>
                <w:szCs w:val="25"/>
                <w:lang w:eastAsia="en-US"/>
              </w:rPr>
            </w:pPr>
            <w:r>
              <w:rPr>
                <w:rFonts w:eastAsia="Calibri" w:cs="Times New Roman" w:ascii="Times New Roman" w:hAnsi="Times New Roman"/>
                <w:sz w:val="25"/>
                <w:szCs w:val="25"/>
                <w:lang w:eastAsia="en-US"/>
              </w:rPr>
              <w:t xml:space="preserve">2 место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rPr>
                <w:rFonts w:ascii="Times New Roman" w:hAnsi="Times New Roman" w:eastAsia="Calibri" w:cs="Times New Roman"/>
                <w:sz w:val="25"/>
                <w:szCs w:val="25"/>
                <w:lang w:eastAsia="en-US"/>
              </w:rPr>
            </w:pPr>
            <w:r>
              <w:rPr>
                <w:rFonts w:eastAsia="Calibri" w:cs="Times New Roman" w:ascii="Times New Roman" w:hAnsi="Times New Roman"/>
                <w:sz w:val="25"/>
                <w:szCs w:val="25"/>
                <w:lang w:eastAsia="en-US"/>
              </w:rPr>
              <w:t>4%</w:t>
            </w:r>
          </w:p>
        </w:tc>
      </w:tr>
      <w:tr>
        <w:trPr>
          <w:trHeight w:val="58" w:hRule="atLeast"/>
        </w:trPr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40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1440" w:leader="none"/>
              </w:tabs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694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rPr>
                <w:rFonts w:ascii="Times New Roman" w:hAnsi="Times New Roman" w:eastAsia="Calibri" w:cs="Times New Roman"/>
                <w:sz w:val="25"/>
                <w:szCs w:val="25"/>
                <w:lang w:eastAsia="en-US"/>
              </w:rPr>
            </w:pPr>
            <w:r>
              <w:rPr>
                <w:rFonts w:eastAsia="Calibri" w:cs="Times New Roman" w:ascii="Times New Roman" w:hAnsi="Times New Roman"/>
                <w:sz w:val="25"/>
                <w:szCs w:val="25"/>
                <w:lang w:eastAsia="en-US"/>
              </w:rPr>
              <w:t xml:space="preserve">3 место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rPr>
                <w:rFonts w:ascii="Times New Roman" w:hAnsi="Times New Roman" w:eastAsia="Calibri" w:cs="Times New Roman"/>
                <w:sz w:val="25"/>
                <w:szCs w:val="25"/>
                <w:lang w:eastAsia="en-US"/>
              </w:rPr>
            </w:pPr>
            <w:r>
              <w:rPr>
                <w:rFonts w:eastAsia="Calibri" w:cs="Times New Roman" w:ascii="Times New Roman" w:hAnsi="Times New Roman"/>
                <w:sz w:val="25"/>
                <w:szCs w:val="25"/>
                <w:lang w:eastAsia="en-US"/>
              </w:rPr>
              <w:t>3%</w:t>
            </w:r>
          </w:p>
        </w:tc>
      </w:tr>
      <w:tr>
        <w:trPr>
          <w:trHeight w:val="327" w:hRule="atLeast"/>
        </w:trPr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Оперативное и качественное исполнение поручений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Выполнение поручений вышестоящего руководства в срок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cs="Times New Roman" w:ascii="Times New Roman" w:hAnsi="Times New Roman"/>
                <w:sz w:val="25"/>
                <w:szCs w:val="25"/>
              </w:rPr>
              <w:t>Отсутствие обоснованных замечаний, жалоб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cs="Times New Roman" w:ascii="Times New Roman" w:hAnsi="Times New Roman"/>
                <w:sz w:val="25"/>
                <w:szCs w:val="25"/>
              </w:rPr>
              <w:t>20%</w:t>
            </w:r>
          </w:p>
        </w:tc>
      </w:tr>
      <w:tr>
        <w:trPr>
          <w:trHeight w:val="185" w:hRule="atLeast"/>
        </w:trPr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82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Выплаты за интенсивность и высокие результаты работы</w:t>
            </w:r>
          </w:p>
        </w:tc>
      </w:tr>
      <w:tr>
        <w:trPr>
          <w:trHeight w:val="2449" w:hRule="atLeast"/>
        </w:trPr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Эффективное управление учреждением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Участие в грантовых конкурсах социальных проектов, конкурсах профессионального мастерства, творческих группах и реализация гранта в случае его получения, участие в реализации национальных проектов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cs="Times New Roman" w:ascii="Times New Roman" w:hAnsi="Times New Roman"/>
                <w:sz w:val="25"/>
                <w:szCs w:val="25"/>
              </w:rPr>
              <w:t xml:space="preserve">Получение призового места и реализация гранта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cs="Times New Roman" w:ascii="Times New Roman" w:hAnsi="Times New Roman"/>
                <w:sz w:val="25"/>
                <w:szCs w:val="25"/>
              </w:rPr>
              <w:t>10%</w:t>
            </w:r>
          </w:p>
        </w:tc>
      </w:tr>
      <w:tr>
        <w:trPr>
          <w:trHeight w:val="2760" w:hRule="atLeast"/>
        </w:trPr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Привлечение спонсоров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Наличие документов, подтверждающих поступление внебюджетных денежных средств на лицевой счет учреждения и их освоение (спонсорской помощи в виде материальных ценностей)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cs="Times New Roman" w:ascii="Times New Roman" w:hAnsi="Times New Roman"/>
                <w:sz w:val="25"/>
                <w:szCs w:val="25"/>
              </w:rPr>
              <w:t xml:space="preserve">Получение и освоение спонсорской помощи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cs="Times New Roman" w:ascii="Times New Roman" w:hAnsi="Times New Roman"/>
                <w:sz w:val="25"/>
                <w:szCs w:val="25"/>
              </w:rPr>
              <w:t>15%</w:t>
            </w:r>
          </w:p>
        </w:tc>
      </w:tr>
      <w:tr>
        <w:trPr>
          <w:trHeight w:val="58" w:hRule="atLeast"/>
        </w:trPr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82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Выплаты за качество выполняемых работ</w:t>
            </w:r>
          </w:p>
        </w:tc>
      </w:tr>
      <w:tr>
        <w:trPr>
          <w:trHeight w:val="1094" w:hRule="atLeast"/>
        </w:trPr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Эффективное управление учреждением</w:t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Отсутствие обоснованных зафиксированных замечаний к деятельности учреждения со стороны органов, осуществляющих функции контроля (надзора), со стороны учредителя, граждан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cs="Times New Roman" w:ascii="Times New Roman" w:hAnsi="Times New Roman"/>
                <w:sz w:val="25"/>
                <w:szCs w:val="25"/>
              </w:rPr>
              <w:t>Отсутствие замечаний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cs="Times New Roman" w:ascii="Times New Roman" w:hAnsi="Times New Roman"/>
                <w:sz w:val="25"/>
                <w:szCs w:val="25"/>
              </w:rPr>
              <w:t>20%</w:t>
            </w:r>
          </w:p>
        </w:tc>
      </w:tr>
      <w:tr>
        <w:trPr>
          <w:trHeight w:val="528" w:hRule="atLeast"/>
        </w:trPr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Эффективность реализуемой кадровой политики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Укомплектованность кадрами не менее 85%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cs="Times New Roman" w:ascii="Times New Roman" w:hAnsi="Times New Roman"/>
                <w:sz w:val="25"/>
                <w:szCs w:val="25"/>
              </w:rPr>
              <w:t>Достижение  показателя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cs="Times New Roman" w:ascii="Times New Roman" w:hAnsi="Times New Roman"/>
                <w:sz w:val="25"/>
                <w:szCs w:val="25"/>
              </w:rPr>
              <w:t>10%</w:t>
            </w:r>
          </w:p>
        </w:tc>
      </w:tr>
      <w:tr>
        <w:trPr>
          <w:trHeight w:val="63" w:hRule="atLeast"/>
        </w:trPr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Эффективность финансово-экономической деятельности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Соблюдение финансовой дисциплины, сроков предоставления отчетности, информации по запросам органа, исполняющего функции и полномочия учредителя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cs="Times New Roman" w:ascii="Times New Roman" w:hAnsi="Times New Roman"/>
                <w:sz w:val="25"/>
                <w:szCs w:val="25"/>
              </w:rPr>
              <w:t>Отсутствие обоснованных претензий со стороны органов надзора и контроля, учредителя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cs="Times New Roman" w:ascii="Times New Roman" w:hAnsi="Times New Roman"/>
                <w:sz w:val="25"/>
                <w:szCs w:val="25"/>
              </w:rPr>
              <w:t>10%</w:t>
            </w:r>
          </w:p>
        </w:tc>
      </w:tr>
    </w:tbl>
    <w:p>
      <w:pPr>
        <w:pStyle w:val="NoSpacing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».</w:t>
      </w:r>
    </w:p>
    <w:p>
      <w:pPr>
        <w:pStyle w:val="NoSpacing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1.1.11. Подпункт 8.5.2.1. пункта 8.5. раздела 8 «Оплата труда руководителя учреждений молодежной политики» - исключить.</w:t>
      </w:r>
    </w:p>
    <w:p>
      <w:pPr>
        <w:pStyle w:val="NoSpacing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1.1.12. Таблицу 25 подпункта 9.5.1. пункта 9.5. раздела 9 «Условия оплаты труда руководителей и заместителей руководителя спортивных школ» изложить в новой</w:t>
        <w:tab/>
        <w:t xml:space="preserve"> редакции:</w:t>
      </w:r>
    </w:p>
    <w:p>
      <w:pPr>
        <w:pStyle w:val="NoSpacing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«</w:t>
      </w:r>
    </w:p>
    <w:p>
      <w:pPr>
        <w:pStyle w:val="NoSpacing"/>
        <w:ind w:firstLine="567"/>
        <w:jc w:val="right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Таблица 25</w:t>
      </w:r>
    </w:p>
    <w:tbl>
      <w:tblPr>
        <w:tblW w:w="9990" w:type="dxa"/>
        <w:jc w:val="left"/>
        <w:tblInd w:w="-526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0" w:firstColumn="1" w:lastColumn="0" w:noHBand="0" w:val="00a0"/>
      </w:tblPr>
      <w:tblGrid>
        <w:gridCol w:w="634"/>
        <w:gridCol w:w="993"/>
        <w:gridCol w:w="1700"/>
        <w:gridCol w:w="3118"/>
        <w:gridCol w:w="2412"/>
        <w:gridCol w:w="1132"/>
      </w:tblGrid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sPlusCel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Наименование  </w:t>
              <w:br/>
              <w:t xml:space="preserve">   должности</w:t>
            </w:r>
          </w:p>
        </w:tc>
        <w:tc>
          <w:tcPr>
            <w:tcW w:w="1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sPlusCel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Критерии оценки </w:t>
              <w:br/>
              <w:t>результативности</w:t>
              <w:br/>
              <w:t xml:space="preserve">   и качества   </w:t>
              <w:br/>
              <w:t xml:space="preserve">  деятельности  </w:t>
              <w:br/>
              <w:t xml:space="preserve">   учреждений</w:t>
            </w:r>
          </w:p>
        </w:tc>
        <w:tc>
          <w:tcPr>
            <w:tcW w:w="55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Spacing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Условия</w:t>
            </w:r>
          </w:p>
        </w:tc>
        <w:tc>
          <w:tcPr>
            <w:tcW w:w="11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Spacing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Предельный </w:t>
              <w:br/>
              <w:t xml:space="preserve">размер к окладу   </w:t>
              <w:br/>
              <w:t xml:space="preserve">(должностному окладу), ставке   </w:t>
              <w:br/>
              <w:t xml:space="preserve">  заработной </w:t>
              <w:br/>
              <w:t xml:space="preserve"> платы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sPlusCel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sPlusCel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индикатор</w:t>
            </w:r>
          </w:p>
        </w:tc>
        <w:tc>
          <w:tcPr>
            <w:tcW w:w="1132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sPlusCel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sPlusCel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sPlusCel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sPlusCel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sPlusCel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5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Руководитель    </w:t>
            </w:r>
          </w:p>
        </w:tc>
        <w:tc>
          <w:tcPr>
            <w:tcW w:w="836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Выплаты за важность выполняемой работы, степень самостоятельности и ответственности при выполнении поставленных задач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исполнение      </w:t>
              <w:br/>
              <w:t>муниципального задания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выполнение показателей,      </w:t>
              <w:br/>
              <w:t xml:space="preserve">установленных     </w:t>
              <w:br/>
              <w:t xml:space="preserve">муниципальным заданием          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90-100%        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10%          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непрерывное     </w:t>
              <w:br/>
              <w:t xml:space="preserve">профессиональное развитие        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наличие выступления с    докладами на совещаниях,       </w:t>
              <w:br/>
              <w:t xml:space="preserve">конференциях      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количество        </w:t>
              <w:br/>
              <w:t xml:space="preserve">выступлений - 1   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3%           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11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количество        </w:t>
              <w:br/>
              <w:t xml:space="preserve">выступлений -     </w:t>
              <w:br/>
              <w:t xml:space="preserve">свыше 1           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5%           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реализация      </w:t>
              <w:br/>
              <w:t xml:space="preserve">программы       </w:t>
              <w:br/>
              <w:t xml:space="preserve">деятельности    </w:t>
              <w:br/>
              <w:t xml:space="preserve">(развития)      </w:t>
              <w:br/>
              <w:t xml:space="preserve">учреждения      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выполнение программы         </w:t>
              <w:br/>
              <w:t xml:space="preserve">деятельности (развития)        </w:t>
              <w:br/>
              <w:t xml:space="preserve">учреждения        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не менее 70% и не более 90%         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10%          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11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более 90%        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15%          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соответствие учреждения        </w:t>
              <w:br/>
              <w:t xml:space="preserve">требованиям надзорных органов 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отсутствие        </w:t>
              <w:br/>
              <w:t xml:space="preserve">предписаний       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10%          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11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устранение        </w:t>
              <w:br/>
              <w:t xml:space="preserve">предписаний в     </w:t>
              <w:br/>
              <w:t xml:space="preserve">установленные     </w:t>
              <w:br/>
              <w:t xml:space="preserve">сроки             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5%           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результативность финансово-      </w:t>
              <w:br/>
              <w:t xml:space="preserve">экономической   </w:t>
              <w:br/>
              <w:t xml:space="preserve">деятельности    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исполнение бюджета</w:t>
              <w:br/>
              <w:t xml:space="preserve">учреждения        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не менее 80% и не более 90%         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5%          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11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более 90%      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10%           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836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Выплаты за интенсивность и высокие результаты работы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выстраивание    </w:t>
              <w:br/>
              <w:t xml:space="preserve">эффективных     </w:t>
              <w:br/>
              <w:t xml:space="preserve">взаимодействий с другими         </w:t>
              <w:br/>
              <w:t xml:space="preserve">учреждениями и ведомствами для </w:t>
              <w:br/>
              <w:t>достижения целей</w:t>
              <w:br/>
              <w:t xml:space="preserve">учреждения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наличие соглашений,       </w:t>
              <w:br/>
              <w:t xml:space="preserve">договоров о совместной        </w:t>
              <w:br/>
              <w:t xml:space="preserve">деятельности      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факт наличия      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2%           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качество владения управленческими функциями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системность контроля, своевременность, согласованность, четкость организации рабочего процесса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в срок и в полном объеме на 100%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5%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коммуникативная культура</w:t>
            </w:r>
          </w:p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умение выстраивать эффективные взаимодействия для достижения целей учреждения 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отсутствие письменных претензий учредителя и контролирующих органов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5%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836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Выплаты за качество выполняемых работ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отсутствие обоснованных зафиксированных замечаний к деятельности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отсутствие  обоснованных      </w:t>
              <w:br/>
              <w:t xml:space="preserve">зафиксированных замечаний к       </w:t>
              <w:br/>
              <w:t xml:space="preserve">руководителю со стороны           </w:t>
              <w:br/>
              <w:t xml:space="preserve">контролирующих органов,          </w:t>
              <w:br/>
              <w:t xml:space="preserve">учредителя, граждан           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отсутствие случаев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10%           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результативность деятельности    </w:t>
              <w:br/>
              <w:t xml:space="preserve">учреждения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сохранность       </w:t>
              <w:br/>
              <w:t xml:space="preserve">контингента       </w:t>
              <w:br/>
              <w:t xml:space="preserve">обучающихся      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более 90%      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10%          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отсутствие        </w:t>
              <w:br/>
              <w:t xml:space="preserve">правонарушений,   </w:t>
              <w:br/>
              <w:t xml:space="preserve">совершенных       </w:t>
              <w:br/>
              <w:t xml:space="preserve">лицами, проходящими спортивную подготовку        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отсутствие случаев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5%           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управленческая деятельность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эффективность реализуемой кадровой политики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укомплектованность кадрами с высшим и средним образованием до 100%</w:t>
            </w:r>
          </w:p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укомплектованность с первой и высшей квалификационной категории не менее 50 %</w:t>
            </w:r>
          </w:p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прохождение сотрудниками обучения,  курсов повышения квалификации и переподготовки до 100 %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2%</w:t>
            </w:r>
          </w:p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5%</w:t>
            </w:r>
          </w:p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5%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количество молодых специалистов основного персонала в учреждении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за каждого молодого специалиста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1%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обеспечение     </w:t>
              <w:br/>
              <w:t xml:space="preserve">функционирования и развития      </w:t>
              <w:br/>
              <w:t xml:space="preserve">учреждения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зачисление обучающихся (лиц, проходящих спортивную подготовку) в государственное училище олимпийского резерва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приказ о зачислении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10%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включение в состав сборной команды Красноярского края по видам спорта обучающихся (лиц, проходящих спортивную подготовку)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списки, утвержденные Министерством спорта РФ и Красноярского края (зачислено 1-10 спортсменов)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3%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участие в  реализации национальных проектов, федеральных и региональных целевых программ       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участие           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10%           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11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получение субсидии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15%          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Заместитель     </w:t>
              <w:br/>
              <w:t xml:space="preserve">руководителя по спортивной работе, заместитель     </w:t>
              <w:br/>
              <w:t>руководителя по методической работе</w:t>
            </w:r>
          </w:p>
        </w:tc>
        <w:tc>
          <w:tcPr>
            <w:tcW w:w="836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Выплаты за важность выполняемой работы, степень самостоятельности и ответственности при выполнении поставленных задач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подготовка и размещение информации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наличие публикаций в средствах массовой          </w:t>
              <w:br/>
              <w:t xml:space="preserve">информации, в том числе             </w:t>
              <w:br/>
              <w:t xml:space="preserve">подготовленных и  </w:t>
              <w:br/>
              <w:t xml:space="preserve">представленных    </w:t>
              <w:br/>
              <w:t xml:space="preserve">заместителем руководителя      </w:t>
              <w:br/>
              <w:t xml:space="preserve">учреждения        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количество        </w:t>
              <w:br/>
              <w:t xml:space="preserve">публикаций - 1    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3%           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11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свыше 1           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5%           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исполнение      </w:t>
              <w:br/>
              <w:t>муниципального задания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выполнение показателей,      </w:t>
              <w:br/>
              <w:t xml:space="preserve">установленных     </w:t>
              <w:br/>
              <w:t xml:space="preserve">муниципальным заданием          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90-100%        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10%          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непрерывное     </w:t>
              <w:br/>
              <w:t>профессиональное</w:t>
              <w:br/>
              <w:t xml:space="preserve">развитие        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наличие выступлений с     </w:t>
              <w:br/>
              <w:t xml:space="preserve">докладами на совещаниях,       </w:t>
              <w:br/>
              <w:t xml:space="preserve">семинарах     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количество        </w:t>
              <w:br/>
              <w:t xml:space="preserve">выступлений - 1   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3%           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11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количество        </w:t>
              <w:br/>
              <w:t xml:space="preserve">выступлений -     </w:t>
              <w:br/>
              <w:t xml:space="preserve">свыше 1           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5%           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реализация      </w:t>
              <w:br/>
              <w:t xml:space="preserve">программы       </w:t>
              <w:br/>
              <w:t xml:space="preserve">деятельности    </w:t>
              <w:br/>
              <w:t xml:space="preserve">(развития)      </w:t>
              <w:br/>
              <w:t xml:space="preserve">учреждения      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выполнение  программы         </w:t>
              <w:br/>
              <w:t xml:space="preserve">деятельности (развития)        </w:t>
              <w:br/>
              <w:t xml:space="preserve">учреждения        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90-100%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20%          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11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70-89,9%      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10%          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соответствие учреждения        </w:t>
              <w:br/>
              <w:t xml:space="preserve">требованиям   надзорных органов </w:t>
            </w:r>
          </w:p>
          <w:p>
            <w:pPr>
              <w:pStyle w:val="NoSpacing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отсутствие        </w:t>
              <w:br/>
              <w:t xml:space="preserve">предписаний       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10%          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11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устранение        </w:t>
              <w:br/>
              <w:t xml:space="preserve">предписаний в     </w:t>
              <w:br/>
              <w:t xml:space="preserve">установленные     </w:t>
              <w:br/>
              <w:t xml:space="preserve">сроки             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5%           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836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Выплаты за интенсивность и высокие результаты работы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выстраивание    </w:t>
              <w:br/>
              <w:t xml:space="preserve">эффективных     </w:t>
              <w:br/>
              <w:t xml:space="preserve">взаимодействий с другими         </w:t>
              <w:br/>
              <w:t xml:space="preserve">учреждениями и  ведомствами для достижения целей учреждения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наличие          соглашений,      договоров о       совместной        </w:t>
              <w:br/>
              <w:t xml:space="preserve">деятельности      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факт наличия      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5%           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качество владения управленческими функциями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системность контроля, своевременность, согласованность, четкость организации рабочего процесса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в срок и в полном объеме на 100%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5%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коммуникативная культура</w:t>
            </w:r>
          </w:p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умение выстраивать эффективные взаимодействия для достижения целей учреждения 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отсутствие письменных претензий учредителя и контролирующих органов, граждан  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5%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836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Выплаты за качество выполняемых работ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отсутствие обоснованных зафиксированных замечаний к деятельности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отсутствие        </w:t>
              <w:br/>
              <w:t xml:space="preserve">обоснованных      </w:t>
              <w:br/>
              <w:t xml:space="preserve">зафиксированных   </w:t>
              <w:br/>
              <w:t xml:space="preserve">замечаний к заместителю       </w:t>
              <w:br/>
              <w:t xml:space="preserve">руководителя со стороны  руководителя,      контролирующих  органов, учредителя,   граждан           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отсутствие случаев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5%           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результативность деятельности    </w:t>
              <w:br/>
              <w:t xml:space="preserve">учреждения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сохранность       контингента       обучающихся     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не менее 90%      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10%          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отсутствие        </w:t>
              <w:br/>
              <w:t xml:space="preserve">правонарушений,   </w:t>
              <w:br/>
              <w:t xml:space="preserve">совершенных       </w:t>
              <w:br/>
              <w:t xml:space="preserve">обучающимися     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отсутствие случаев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3%           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управленческая культура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333333"/>
                <w:sz w:val="24"/>
                <w:szCs w:val="24"/>
                <w:shd w:fill="FFFFFF" w:val="clear"/>
              </w:rPr>
              <w:t>организация эффективной деятельности учреждения,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  </w:t>
            </w:r>
          </w:p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333333"/>
                <w:sz w:val="24"/>
                <w:szCs w:val="24"/>
                <w:shd w:fill="FFFFFF" w:val="clear"/>
              </w:rPr>
              <w:t xml:space="preserve">культурное взаимоотношение, </w:t>
            </w:r>
            <w:r>
              <w:rPr>
                <w:rFonts w:cs="Times New Roman" w:ascii="Times New Roman" w:hAnsi="Times New Roman"/>
                <w:color w:val="333333"/>
                <w:sz w:val="24"/>
                <w:szCs w:val="24"/>
              </w:rPr>
              <w:br/>
            </w:r>
            <w:r>
              <w:rPr>
                <w:rFonts w:cs="Times New Roman" w:ascii="Times New Roman" w:hAnsi="Times New Roman"/>
                <w:color w:val="333333"/>
                <w:sz w:val="24"/>
                <w:szCs w:val="24"/>
                <w:shd w:fill="FFFFFF" w:val="clear"/>
              </w:rPr>
              <w:t>творческий подход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>нет зафиксированных замечаний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5 %</w:t>
            </w:r>
          </w:p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FF0000"/>
                <w:sz w:val="24"/>
                <w:szCs w:val="24"/>
              </w:rPr>
              <w:t xml:space="preserve"> 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обеспечение     </w:t>
              <w:br/>
              <w:t xml:space="preserve">функционирования и развития      </w:t>
              <w:br/>
              <w:t xml:space="preserve">учреждения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зачисление обучающихся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>(лиц, проходящих спортивную подготовку) в государственное училище олимпийского резерва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приказ о зачислении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10%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включение в состав сборной команды Красноярского края по видам спорта обучающихся (лиц, проходящих спортивную подготовку)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списки, утвержденные Министерством спорта РФ и Красноярского края (зачислено 1-10 спортсменов)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3%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участие в  реализации национальных проектов, федеральных и региональных целевых программ       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участие           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10%           </w:t>
            </w:r>
          </w:p>
        </w:tc>
      </w:tr>
      <w:tr>
        <w:trPr/>
        <w:tc>
          <w:tcPr>
            <w:tcW w:w="634" w:type="dxa"/>
            <w:tcBorders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11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получение субсидии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15%          </w:t>
            </w:r>
          </w:p>
        </w:tc>
      </w:tr>
    </w:tbl>
    <w:p>
      <w:pPr>
        <w:pStyle w:val="NoSpacing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</w:r>
    </w:p>
    <w:p>
      <w:pPr>
        <w:pStyle w:val="NoSpacing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1.1.13. Таблицу 30 подпункта 10.6.1. пункта 10.6. раздела 10 «Условия оплаты труда руководителя и заместителей руководителя центра физкультурно-спортивной подготовки» изложить в новой редакции:</w:t>
      </w:r>
    </w:p>
    <w:p>
      <w:pPr>
        <w:pStyle w:val="NoSpacing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«</w:t>
      </w:r>
    </w:p>
    <w:p>
      <w:pPr>
        <w:pStyle w:val="NoSpacing"/>
        <w:ind w:firstLine="567"/>
        <w:jc w:val="right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Таблица 30</w:t>
      </w:r>
    </w:p>
    <w:tbl>
      <w:tblPr>
        <w:tblW w:w="9356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0" w:firstColumn="1" w:lastColumn="0" w:noHBand="0" w:val="00a0"/>
      </w:tblPr>
      <w:tblGrid>
        <w:gridCol w:w="1447"/>
        <w:gridCol w:w="2520"/>
        <w:gridCol w:w="2714"/>
        <w:gridCol w:w="1523"/>
        <w:gridCol w:w="1152"/>
      </w:tblGrid>
      <w:tr>
        <w:trPr>
          <w:trHeight w:val="144" w:hRule="atLeast"/>
        </w:trPr>
        <w:tc>
          <w:tcPr>
            <w:tcW w:w="14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Должности</w:t>
            </w:r>
          </w:p>
        </w:tc>
        <w:tc>
          <w:tcPr>
            <w:tcW w:w="25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Критерии оценки результативности и качества труда и периодичность оценки для установления выплат</w:t>
            </w:r>
          </w:p>
        </w:tc>
        <w:tc>
          <w:tcPr>
            <w:tcW w:w="4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Условия</w:t>
            </w:r>
          </w:p>
        </w:tc>
        <w:tc>
          <w:tcPr>
            <w:tcW w:w="11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Предельный размер выплат к должностному окладу</w:t>
            </w:r>
          </w:p>
        </w:tc>
      </w:tr>
      <w:tr>
        <w:trPr>
          <w:trHeight w:val="144" w:hRule="atLeast"/>
        </w:trPr>
        <w:tc>
          <w:tcPr>
            <w:tcW w:w="144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52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Индикатор</w:t>
            </w:r>
          </w:p>
        </w:tc>
        <w:tc>
          <w:tcPr>
            <w:tcW w:w="1152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4" w:hRule="atLeast"/>
        </w:trPr>
        <w:tc>
          <w:tcPr>
            <w:tcW w:w="14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Директор</w:t>
            </w:r>
          </w:p>
        </w:tc>
        <w:tc>
          <w:tcPr>
            <w:tcW w:w="790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Выплаты за важность выполняемой работы, степень самостоятельности и ответственности при выполнении поставленных задач</w:t>
            </w:r>
          </w:p>
        </w:tc>
      </w:tr>
      <w:tr>
        <w:trPr>
          <w:trHeight w:val="144" w:hRule="atLeast"/>
        </w:trPr>
        <w:tc>
          <w:tcPr>
            <w:tcW w:w="144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руководство производственной и финансово-экономической деятельностью учреждения</w:t>
            </w:r>
          </w:p>
        </w:tc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ежемесячно: отсутствие замечаний со стороны учредителя к организации деятельности и функционирования учреждения в целом</w:t>
            </w:r>
          </w:p>
        </w:tc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отсутствие письменных замечаний 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30%</w:t>
            </w:r>
          </w:p>
        </w:tc>
      </w:tr>
      <w:tr>
        <w:trPr>
          <w:trHeight w:val="936" w:hRule="atLeast"/>
        </w:trPr>
        <w:tc>
          <w:tcPr>
            <w:tcW w:w="144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эффективность реализуемой кадровой политики</w:t>
            </w:r>
          </w:p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оптимальность штатного расписания, стабильность кадрового состава</w:t>
            </w:r>
          </w:p>
        </w:tc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не менее 90%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25%</w:t>
            </w:r>
          </w:p>
        </w:tc>
      </w:tr>
      <w:tr>
        <w:trPr>
          <w:trHeight w:val="144" w:hRule="atLeast"/>
        </w:trPr>
        <w:tc>
          <w:tcPr>
            <w:tcW w:w="144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отсутствие нарушений сроков и качества подготовки и сдачи отчетности</w:t>
            </w:r>
          </w:p>
        </w:tc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своевременно, качественно </w:t>
            </w:r>
          </w:p>
        </w:tc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отсутствие письменных замечаний 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25%</w:t>
            </w:r>
          </w:p>
        </w:tc>
      </w:tr>
      <w:tr>
        <w:trPr>
          <w:trHeight w:val="144" w:hRule="atLeast"/>
        </w:trPr>
        <w:tc>
          <w:tcPr>
            <w:tcW w:w="144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качество владения управленческими функциями</w:t>
            </w:r>
          </w:p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системность контроля, своевременность, согласованность, четкость организации рабочего процесса</w:t>
            </w:r>
          </w:p>
        </w:tc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100%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35%</w:t>
            </w:r>
          </w:p>
        </w:tc>
      </w:tr>
      <w:tr>
        <w:trPr>
          <w:trHeight w:val="144" w:hRule="atLeast"/>
        </w:trPr>
        <w:tc>
          <w:tcPr>
            <w:tcW w:w="144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790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Выплаты за интенсивность и высокие результаты работы</w:t>
            </w:r>
          </w:p>
        </w:tc>
      </w:tr>
      <w:tr>
        <w:trPr>
          <w:trHeight w:val="144" w:hRule="atLeast"/>
        </w:trPr>
        <w:tc>
          <w:tcPr>
            <w:tcW w:w="144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отсутствие обоснованных обращений граждан по поводу конфликтных ситуаций</w:t>
            </w:r>
          </w:p>
        </w:tc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отсутствие жалоб в письменной форме со стороны граждан на имя директора</w:t>
            </w:r>
          </w:p>
        </w:tc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отсутствие замечаний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20%</w:t>
            </w:r>
          </w:p>
        </w:tc>
      </w:tr>
      <w:tr>
        <w:trPr>
          <w:trHeight w:val="144" w:hRule="atLeast"/>
        </w:trPr>
        <w:tc>
          <w:tcPr>
            <w:tcW w:w="144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создание благоприятных условий труда для работников учреждения</w:t>
            </w:r>
          </w:p>
        </w:tc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отсутствие конфликтов, жалоб, претензий в письменной форме</w:t>
            </w:r>
          </w:p>
        </w:tc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30%</w:t>
            </w:r>
          </w:p>
        </w:tc>
      </w:tr>
      <w:tr>
        <w:trPr>
          <w:trHeight w:val="144" w:hRule="atLeast"/>
        </w:trPr>
        <w:tc>
          <w:tcPr>
            <w:tcW w:w="144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коммуникативная культура</w:t>
            </w:r>
          </w:p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умение выстраивать эффективные взаимодействия для достижения целей учреждения </w:t>
            </w:r>
          </w:p>
        </w:tc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отсутствие письменных претензий учредителя и контролирующих органов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35%</w:t>
            </w:r>
          </w:p>
        </w:tc>
      </w:tr>
      <w:tr>
        <w:trPr>
          <w:trHeight w:val="144" w:hRule="atLeast"/>
        </w:trPr>
        <w:tc>
          <w:tcPr>
            <w:tcW w:w="144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790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Выплаты за качество выполняемых работ</w:t>
            </w:r>
          </w:p>
        </w:tc>
      </w:tr>
      <w:tr>
        <w:trPr>
          <w:trHeight w:val="144" w:hRule="atLeast"/>
        </w:trPr>
        <w:tc>
          <w:tcPr>
            <w:tcW w:w="144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обеспечение стабильного функционирования и развития учреждения</w:t>
            </w:r>
          </w:p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рабочий процесс обеспечен необходимыми материально-техническими ресурсами</w:t>
            </w:r>
          </w:p>
        </w:tc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отсутствие письменных замечаний учреждения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25%</w:t>
            </w:r>
          </w:p>
        </w:tc>
      </w:tr>
      <w:tr>
        <w:trPr>
          <w:trHeight w:val="144" w:hRule="atLeast"/>
        </w:trPr>
        <w:tc>
          <w:tcPr>
            <w:tcW w:w="144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эффективность финансово-экономической деятельности</w:t>
            </w:r>
          </w:p>
        </w:tc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исполнение плана финансово-хозяйственной деятельности</w:t>
            </w:r>
          </w:p>
        </w:tc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90%-100%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25%</w:t>
            </w:r>
          </w:p>
        </w:tc>
      </w:tr>
      <w:tr>
        <w:trPr>
          <w:trHeight w:val="144" w:hRule="atLeast"/>
        </w:trPr>
        <w:tc>
          <w:tcPr>
            <w:tcW w:w="144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соблюдение правил внутреннего трудового распорядка</w:t>
            </w:r>
          </w:p>
        </w:tc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отсутствие письменных замечаний учредителя</w:t>
            </w:r>
          </w:p>
        </w:tc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25%</w:t>
            </w:r>
          </w:p>
        </w:tc>
      </w:tr>
      <w:tr>
        <w:trPr>
          <w:trHeight w:val="1127" w:hRule="atLeast"/>
        </w:trPr>
        <w:tc>
          <w:tcPr>
            <w:tcW w:w="144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сохранность и рациональное использование имущества, закрепленного за учреждением</w:t>
            </w:r>
          </w:p>
        </w:tc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имущество расходуется по назначению </w:t>
            </w:r>
          </w:p>
        </w:tc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в соответствии с целями деятельности учреждения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25%</w:t>
            </w:r>
          </w:p>
        </w:tc>
      </w:tr>
      <w:tr>
        <w:trPr>
          <w:trHeight w:val="144" w:hRule="atLeast"/>
        </w:trPr>
        <w:tc>
          <w:tcPr>
            <w:tcW w:w="14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Заместитель</w:t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директора </w:t>
            </w:r>
          </w:p>
        </w:tc>
        <w:tc>
          <w:tcPr>
            <w:tcW w:w="790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Выплаты за важность выполняемой работы, степень самостоятельности и ответственности при выполнении поставленных задач</w:t>
            </w:r>
          </w:p>
        </w:tc>
      </w:tr>
      <w:tr>
        <w:trPr>
          <w:trHeight w:val="144" w:hRule="atLeast"/>
        </w:trPr>
        <w:tc>
          <w:tcPr>
            <w:tcW w:w="144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своевременное обеспечение рабочего процесса: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494" w:leader="none"/>
              </w:tabs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-информационно-методическими материалами;</w:t>
            </w:r>
          </w:p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-техническими средствами</w:t>
            </w:r>
          </w:p>
        </w:tc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обеспечено своевременно</w:t>
            </w:r>
          </w:p>
        </w:tc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90%-100%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30%</w:t>
            </w:r>
          </w:p>
        </w:tc>
      </w:tr>
      <w:tr>
        <w:trPr>
          <w:trHeight w:val="144" w:hRule="atLeast"/>
        </w:trPr>
        <w:tc>
          <w:tcPr>
            <w:tcW w:w="144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реализация        </w:t>
              <w:br/>
              <w:t xml:space="preserve">программы         </w:t>
              <w:br/>
              <w:t xml:space="preserve">деятельности      </w:t>
              <w:br/>
              <w:t xml:space="preserve">(развития)        </w:t>
              <w:br/>
              <w:t xml:space="preserve">учреждения        </w:t>
            </w:r>
          </w:p>
        </w:tc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отсутствие замечаний </w:t>
              <w:br/>
              <w:t xml:space="preserve">надзорных и          </w:t>
              <w:br/>
              <w:t xml:space="preserve">контролирующих       </w:t>
              <w:br/>
              <w:t xml:space="preserve">органов              </w:t>
            </w:r>
          </w:p>
        </w:tc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отсутствие     </w:t>
              <w:br/>
              <w:t xml:space="preserve">случаев        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25%</w:t>
            </w:r>
          </w:p>
        </w:tc>
      </w:tr>
      <w:tr>
        <w:trPr>
          <w:trHeight w:val="144" w:hRule="atLeast"/>
        </w:trPr>
        <w:tc>
          <w:tcPr>
            <w:tcW w:w="144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своевременная подготовка и проведение спортивно-массовых мероприятий</w:t>
            </w:r>
          </w:p>
        </w:tc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отсутствие письменных замечаний директора учреждения</w:t>
            </w:r>
          </w:p>
        </w:tc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100%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15%</w:t>
            </w:r>
          </w:p>
        </w:tc>
      </w:tr>
      <w:tr>
        <w:trPr>
          <w:trHeight w:val="144" w:hRule="atLeast"/>
        </w:trPr>
        <w:tc>
          <w:tcPr>
            <w:tcW w:w="144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790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Выплаты за интенсивность и высокие результаты работы</w:t>
            </w:r>
          </w:p>
        </w:tc>
      </w:tr>
      <w:tr>
        <w:trPr>
          <w:trHeight w:val="144" w:hRule="atLeast"/>
        </w:trPr>
        <w:tc>
          <w:tcPr>
            <w:tcW w:w="144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отсутствие нарушений сроков и качества подготовки и сдачи отчетности</w:t>
            </w:r>
          </w:p>
        </w:tc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нарушение сроков подготовки и сдачи отчетности </w:t>
            </w:r>
          </w:p>
        </w:tc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20%</w:t>
            </w:r>
          </w:p>
        </w:tc>
      </w:tr>
      <w:tr>
        <w:trPr>
          <w:trHeight w:val="144" w:hRule="atLeast"/>
        </w:trPr>
        <w:tc>
          <w:tcPr>
            <w:tcW w:w="144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высокая эффективность по обеспечению строгого соблюдения финансовой и трудовой дисциплины</w:t>
            </w:r>
          </w:p>
        </w:tc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отсутствие письменных замечаний директора учреждения</w:t>
            </w:r>
          </w:p>
        </w:tc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15%</w:t>
            </w:r>
          </w:p>
        </w:tc>
      </w:tr>
      <w:tr>
        <w:trPr>
          <w:trHeight w:val="144" w:hRule="atLeast"/>
        </w:trPr>
        <w:tc>
          <w:tcPr>
            <w:tcW w:w="144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обеспечение стабильного функционирования и развития учреждения</w:t>
            </w:r>
          </w:p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своевременное обеспечение рабочего процесса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494" w:leader="none"/>
              </w:tabs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информационно-методическими материалами;</w:t>
            </w:r>
          </w:p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-техническими средствами</w:t>
            </w:r>
          </w:p>
        </w:tc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отсутствие жалоб со стороны работников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10%</w:t>
            </w:r>
          </w:p>
        </w:tc>
      </w:tr>
      <w:tr>
        <w:trPr>
          <w:trHeight w:val="144" w:hRule="atLeast"/>
        </w:trPr>
        <w:tc>
          <w:tcPr>
            <w:tcW w:w="144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выстраивание эффективного взаимодействия с другими учреждениями и ведомствами для достижения целей учреждения </w:t>
            </w:r>
          </w:p>
        </w:tc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наличие соглашений,  договоров о          </w:t>
              <w:br/>
              <w:t>совместной деятельности</w:t>
            </w:r>
          </w:p>
        </w:tc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отсутствие замечаний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10%</w:t>
            </w:r>
          </w:p>
        </w:tc>
      </w:tr>
      <w:tr>
        <w:trPr>
          <w:trHeight w:val="144" w:hRule="atLeast"/>
        </w:trPr>
        <w:tc>
          <w:tcPr>
            <w:tcW w:w="144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790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Выплаты за качество выполняемых работ</w:t>
            </w:r>
          </w:p>
        </w:tc>
      </w:tr>
      <w:tr>
        <w:trPr>
          <w:trHeight w:val="144" w:hRule="atLeast"/>
        </w:trPr>
        <w:tc>
          <w:tcPr>
            <w:tcW w:w="144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организация работы по социальному партнерству и межведомственному взаимодействию</w:t>
            </w:r>
          </w:p>
        </w:tc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заключение договоров социального партнерства и соглашений с учреждениями</w:t>
            </w:r>
          </w:p>
        </w:tc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отсутствие письменных замечаний директора</w:t>
            </w:r>
          </w:p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учреждения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10%</w:t>
            </w:r>
          </w:p>
        </w:tc>
      </w:tr>
      <w:tr>
        <w:trPr>
          <w:trHeight w:val="1959" w:hRule="atLeast"/>
        </w:trPr>
        <w:tc>
          <w:tcPr>
            <w:tcW w:w="144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выполнение плана мероприятий  по внедрению энергосберегающих и инновационных технологий (в полном объеме)</w:t>
            </w:r>
          </w:p>
        </w:tc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выполнение плана</w:t>
            </w:r>
          </w:p>
        </w:tc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95% и более %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15%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852" w:hRule="atLeast"/>
        </w:trPr>
        <w:tc>
          <w:tcPr>
            <w:tcW w:w="14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Заместитель директора по АХР</w:t>
            </w:r>
          </w:p>
        </w:tc>
        <w:tc>
          <w:tcPr>
            <w:tcW w:w="790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Выплаты за важность выполняемой работы, степень самостоятельности и ответственности при выполнении поставленных задач</w:t>
            </w:r>
          </w:p>
        </w:tc>
      </w:tr>
      <w:tr>
        <w:trPr>
          <w:trHeight w:val="1851" w:hRule="atLeast"/>
        </w:trPr>
        <w:tc>
          <w:tcPr>
            <w:tcW w:w="144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ответственное отношение к своим обязанностям</w:t>
            </w:r>
          </w:p>
        </w:tc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отсутствие обоснованных зафиксированных замечаний к заместителю руководителя со стороны руководителя, контролирующих органов, учредителя, граждан</w:t>
            </w:r>
          </w:p>
        </w:tc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Отсутствие случаев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50%</w:t>
            </w:r>
          </w:p>
        </w:tc>
      </w:tr>
      <w:tr>
        <w:trPr>
          <w:trHeight w:val="1851" w:hRule="atLeast"/>
        </w:trPr>
        <w:tc>
          <w:tcPr>
            <w:tcW w:w="144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реализация программы деятельности (развития) учреждения</w:t>
            </w:r>
          </w:p>
        </w:tc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соответствие учреждения требованиям надзорных органов</w:t>
            </w:r>
          </w:p>
        </w:tc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отсутствие предписаний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30%</w:t>
            </w:r>
          </w:p>
        </w:tc>
      </w:tr>
      <w:tr>
        <w:trPr>
          <w:trHeight w:val="273" w:hRule="atLeast"/>
        </w:trPr>
        <w:tc>
          <w:tcPr>
            <w:tcW w:w="144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790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Выплаты за интенсивность и высокие результаты работы</w:t>
            </w:r>
          </w:p>
        </w:tc>
      </w:tr>
      <w:tr>
        <w:trPr>
          <w:trHeight w:val="1851" w:hRule="atLeast"/>
        </w:trPr>
        <w:tc>
          <w:tcPr>
            <w:tcW w:w="144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обеспечение функционирования и развития учреждения</w:t>
            </w:r>
          </w:p>
        </w:tc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создание условий безопасности и сохранности жизни и здоровья участников образовательного, тренировочного процесса, обеспечение стабильной охраны труда и техники безопасности</w:t>
            </w:r>
          </w:p>
        </w:tc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отсутствие зафиксированных нарушений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30%</w:t>
            </w:r>
          </w:p>
        </w:tc>
      </w:tr>
      <w:tr>
        <w:trPr>
          <w:trHeight w:val="443" w:hRule="atLeast"/>
        </w:trPr>
        <w:tc>
          <w:tcPr>
            <w:tcW w:w="144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790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Выплаты за качество выполняемых работ</w:t>
            </w:r>
          </w:p>
        </w:tc>
      </w:tr>
      <w:tr>
        <w:trPr>
          <w:trHeight w:val="1851" w:hRule="atLeast"/>
        </w:trPr>
        <w:tc>
          <w:tcPr>
            <w:tcW w:w="144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сохранность имущества учреждения</w:t>
            </w:r>
          </w:p>
        </w:tc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100%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20%</w:t>
            </w:r>
          </w:p>
        </w:tc>
      </w:tr>
      <w:tr>
        <w:trPr>
          <w:trHeight w:val="1851" w:hRule="atLeast"/>
        </w:trPr>
        <w:tc>
          <w:tcPr>
            <w:tcW w:w="144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выполнение планов работы учреждения и отчетов в части готовности спортивных сооружений к учебно-тренировочному и соревновательному процессам</w:t>
            </w:r>
          </w:p>
        </w:tc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100%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20%</w:t>
            </w:r>
          </w:p>
        </w:tc>
      </w:tr>
    </w:tbl>
    <w:p>
      <w:pPr>
        <w:pStyle w:val="NoSpacing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».</w:t>
      </w:r>
    </w:p>
    <w:p>
      <w:pPr>
        <w:pStyle w:val="NoSpacing"/>
        <w:numPr>
          <w:ilvl w:val="0"/>
          <w:numId w:val="2"/>
        </w:numPr>
        <w:ind w:firstLine="567" w:left="0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Контроль за исполнением настоящего постановления возложить на заместителя Главы города Шарыпово по социальным вопросам Рудь Ю.В.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3.  Постановление вступает в силу в день, следующий за днем его официального опубликования в периодическом печатном издании «Официальный вестник города Шарыпово», и подлежит размещению на официальном сайте муниципального образования города Шарыпово Красноярского края (https://sharypovo.gosuslugi.ru),</w:t>
      </w:r>
      <w:r>
        <w:rPr>
          <w:rFonts w:cs="Times New Roman" w:ascii="Times New Roman" w:hAnsi="Times New Roman"/>
        </w:rPr>
        <w:t xml:space="preserve"> </w:t>
      </w:r>
      <w:r>
        <w:rPr>
          <w:rFonts w:cs="Times New Roman" w:ascii="Times New Roman" w:hAnsi="Times New Roman"/>
          <w:sz w:val="28"/>
          <w:szCs w:val="28"/>
        </w:rPr>
        <w:t xml:space="preserve">и </w:t>
      </w:r>
      <w:r>
        <w:rPr>
          <w:rFonts w:cs="Times New Roman" w:ascii="Times New Roman" w:hAnsi="Times New Roman"/>
          <w:sz w:val="26"/>
          <w:szCs w:val="26"/>
        </w:rPr>
        <w:t>распространяет свое действие на</w:t>
      </w:r>
      <w:r>
        <w:rPr>
          <w:rFonts w:cs="Times New Roman" w:ascii="Times New Roman" w:hAnsi="Times New Roman"/>
          <w:sz w:val="28"/>
          <w:szCs w:val="26"/>
        </w:rPr>
        <w:t xml:space="preserve"> </w:t>
      </w:r>
      <w:r>
        <w:rPr>
          <w:rFonts w:cs="Times New Roman" w:ascii="Times New Roman" w:hAnsi="Times New Roman"/>
          <w:sz w:val="26"/>
          <w:szCs w:val="26"/>
        </w:rPr>
        <w:t>правоотношения, возникшие с 01.01.2025 г.</w:t>
      </w:r>
    </w:p>
    <w:p>
      <w:pPr>
        <w:pStyle w:val="Admpr-"/>
        <w:rPr>
          <w:sz w:val="26"/>
          <w:szCs w:val="26"/>
          <w:lang w:bidi="ru-RU"/>
        </w:rPr>
      </w:pPr>
      <w:r>
        <w:rPr>
          <w:sz w:val="26"/>
          <w:szCs w:val="26"/>
          <w:lang w:bidi="ru-RU"/>
        </w:rPr>
      </w:r>
    </w:p>
    <w:p>
      <w:pPr>
        <w:pStyle w:val="Admpr-"/>
        <w:rPr>
          <w:sz w:val="26"/>
          <w:szCs w:val="26"/>
          <w:lang w:bidi="ru-RU"/>
        </w:rPr>
      </w:pPr>
      <w:r>
        <w:rPr>
          <w:sz w:val="26"/>
          <w:szCs w:val="26"/>
          <w:lang w:bidi="ru-RU"/>
        </w:rPr>
      </w:r>
    </w:p>
    <w:p>
      <w:pPr>
        <w:pStyle w:val="Admpr-"/>
        <w:rPr>
          <w:sz w:val="26"/>
          <w:szCs w:val="26"/>
          <w:lang w:bidi="ru-RU"/>
        </w:rPr>
      </w:pPr>
      <w:r>
        <w:rPr>
          <w:sz w:val="26"/>
          <w:szCs w:val="26"/>
          <w:lang w:bidi="ru-RU"/>
        </w:rPr>
      </w:r>
    </w:p>
    <w:p>
      <w:pPr>
        <w:pStyle w:val="Admpr-"/>
        <w:ind w:hanging="0"/>
        <w:rPr>
          <w:sz w:val="26"/>
          <w:szCs w:val="26"/>
        </w:rPr>
      </w:pPr>
      <w:r>
        <w:rPr>
          <w:sz w:val="26"/>
          <w:szCs w:val="26"/>
        </w:rPr>
        <w:t>Глава города Шарыпово                                                                                 В.Г. Хохлов</w:t>
      </w:r>
    </w:p>
    <w:p>
      <w:pPr>
        <w:pStyle w:val="Normal"/>
        <w:tabs>
          <w:tab w:val="clear" w:pos="708"/>
          <w:tab w:val="left" w:pos="7513" w:leader="none"/>
        </w:tabs>
        <w:spacing w:lineRule="auto" w:line="240" w:before="0" w:after="200"/>
        <w:jc w:val="both"/>
        <w:rPr>
          <w:rFonts w:ascii="Times New Roman" w:hAnsi="Times New Roman" w:cs="Times New Roman"/>
          <w:sz w:val="26"/>
          <w:szCs w:val="26"/>
          <w:lang w:bidi="ru-RU"/>
        </w:rPr>
      </w:pPr>
      <w:r>
        <w:rPr>
          <w:sz w:val="26"/>
          <w:szCs w:val="26"/>
        </w:rPr>
      </w:r>
    </w:p>
    <w:sectPr>
      <w:type w:val="nextPage"/>
      <w:pgSz w:w="11906" w:h="16838"/>
      <w:pgMar w:left="1701" w:right="850" w:gutter="0" w:header="0" w:top="709" w:footer="0" w:bottom="851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Arial">
    <w:charset w:val="cc"/>
    <w:family w:val="roman"/>
    <w:pitch w:val="variable"/>
  </w:font>
  <w:font w:name="Segoe UI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">
    <w:lvl w:ilvl="0">
      <w:start w:val="2"/>
      <w:numFmt w:val="decimal"/>
      <w:suff w:val="space"/>
      <w:lvlText w:val="%1."/>
      <w:lvlJc w:val="left"/>
      <w:pPr>
        <w:tabs>
          <w:tab w:val="num" w:pos="0"/>
        </w:tabs>
        <w:ind w:left="284" w:hanging="57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mailMerge>
    <w:mainDocumentType w:val="formLetters"/>
    <w:dataType w:val="textFile"/>
    <w:query w:val="SELECT * FROM Адреса.dbo.СВО-2025-янв$"/>
  </w:mailMerge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3329d0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Times New Roman" w:cs="Calibri" w:asciiTheme="minorHAnsi" w:hAnsiTheme="minorHAnsi"/>
      <w:color w:val="auto"/>
      <w:kern w:val="0"/>
      <w:sz w:val="22"/>
      <w:szCs w:val="22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Подзаголовок Знак"/>
    <w:basedOn w:val="DefaultParagraphFont"/>
    <w:uiPriority w:val="99"/>
    <w:qFormat/>
    <w:rsid w:val="003329d0"/>
    <w:rPr>
      <w:rFonts w:ascii="Arial" w:hAnsi="Arial" w:eastAsia="Times New Roman" w:cs="Arial"/>
      <w:sz w:val="24"/>
      <w:szCs w:val="24"/>
    </w:rPr>
  </w:style>
  <w:style w:type="character" w:styleId="Style15" w:customStyle="1">
    <w:name w:val="Текст выноски Знак"/>
    <w:basedOn w:val="DefaultParagraphFont"/>
    <w:link w:val="BalloonText"/>
    <w:uiPriority w:val="99"/>
    <w:semiHidden/>
    <w:qFormat/>
    <w:rsid w:val="00356317"/>
    <w:rPr>
      <w:rFonts w:ascii="Segoe UI" w:hAnsi="Segoe UI" w:eastAsia="Times New Roman" w:cs="Segoe UI"/>
      <w:sz w:val="18"/>
      <w:szCs w:val="18"/>
      <w:lang w:eastAsia="ru-RU"/>
    </w:rPr>
  </w:style>
  <w:style w:type="character" w:styleId="Hyperlink">
    <w:name w:val="Hyperlink"/>
    <w:basedOn w:val="DefaultParagraphFont"/>
    <w:uiPriority w:val="99"/>
    <w:rsid w:val="00505dbd"/>
    <w:rPr>
      <w:color w:val="0000FF"/>
      <w:u w:val="single"/>
    </w:rPr>
  </w:style>
  <w:style w:type="paragraph" w:styleId="Style16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17">
    <w:name w:val="Указатель"/>
    <w:basedOn w:val="Normal"/>
    <w:qFormat/>
    <w:pPr>
      <w:suppressLineNumbers/>
    </w:pPr>
    <w:rPr>
      <w:rFonts w:cs="Lohit Devanagari"/>
    </w:rPr>
  </w:style>
  <w:style w:type="paragraph" w:styleId="Subtitle">
    <w:name w:val="Subtitle"/>
    <w:basedOn w:val="Normal"/>
    <w:link w:val="Style14"/>
    <w:uiPriority w:val="99"/>
    <w:qFormat/>
    <w:rsid w:val="003329d0"/>
    <w:pPr>
      <w:spacing w:before="0" w:after="60"/>
      <w:jc w:val="center"/>
      <w:outlineLvl w:val="1"/>
    </w:pPr>
    <w:rPr>
      <w:rFonts w:ascii="Arial" w:hAnsi="Arial" w:cs="Arial"/>
      <w:sz w:val="24"/>
      <w:szCs w:val="24"/>
      <w:lang w:eastAsia="en-US"/>
    </w:rPr>
  </w:style>
  <w:style w:type="paragraph" w:styleId="NoSpacing">
    <w:name w:val="No Spacing"/>
    <w:uiPriority w:val="1"/>
    <w:qFormat/>
    <w:rsid w:val="003329d0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Times New Roman" w:cs="Calibri" w:asciiTheme="minorHAnsi" w:hAnsiTheme="minorHAnsi"/>
      <w:color w:val="auto"/>
      <w:kern w:val="0"/>
      <w:sz w:val="22"/>
      <w:szCs w:val="22"/>
      <w:lang w:val="ru-RU" w:eastAsia="ru-RU" w:bidi="ar-SA"/>
    </w:rPr>
  </w:style>
  <w:style w:type="paragraph" w:styleId="ListParagraph">
    <w:name w:val="List Paragraph"/>
    <w:basedOn w:val="Normal"/>
    <w:uiPriority w:val="34"/>
    <w:qFormat/>
    <w:rsid w:val="003329d0"/>
    <w:pPr>
      <w:ind w:hanging="0" w:left="720"/>
    </w:pPr>
    <w:rPr>
      <w:lang w:eastAsia="en-US"/>
    </w:rPr>
  </w:style>
  <w:style w:type="paragraph" w:styleId="Admpr-" w:customStyle="1">
    <w:name w:val="adm_p_r-абзац"/>
    <w:qFormat/>
    <w:rsid w:val="003329d0"/>
    <w:pPr>
      <w:widowControl/>
      <w:suppressAutoHyphens w:val="true"/>
      <w:bidi w:val="0"/>
      <w:spacing w:lineRule="auto" w:line="240" w:before="0" w:after="0"/>
      <w:ind w:firstLine="567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8"/>
      <w:lang w:val="ru-RU" w:eastAsia="ru-RU" w:bidi="ar-SA"/>
    </w:rPr>
  </w:style>
  <w:style w:type="paragraph" w:styleId="BalloonText">
    <w:name w:val="Balloon Text"/>
    <w:basedOn w:val="Normal"/>
    <w:link w:val="Style15"/>
    <w:uiPriority w:val="99"/>
    <w:semiHidden/>
    <w:unhideWhenUsed/>
    <w:qFormat/>
    <w:rsid w:val="00356317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ConsPlusCell" w:customStyle="1">
    <w:name w:val="ConsPlusCell"/>
    <w:uiPriority w:val="99"/>
    <w:qFormat/>
    <w:rsid w:val="00814cc6"/>
    <w:pPr>
      <w:widowControl w:val="false"/>
      <w:suppressAutoHyphens w:val="true"/>
      <w:bidi w:val="0"/>
      <w:spacing w:lineRule="auto" w:line="240" w:before="0" w:after="0"/>
      <w:jc w:val="left"/>
    </w:pPr>
    <w:rPr>
      <w:rFonts w:ascii="Arial" w:hAnsi="Arial" w:eastAsia="Times New Roman" w:cs="Arial"/>
      <w:color w:val="auto"/>
      <w:kern w:val="0"/>
      <w:sz w:val="20"/>
      <w:szCs w:val="20"/>
      <w:lang w:val="ru-RU" w:eastAsia="ru-RU" w:bidi="ar-SA"/>
    </w:rPr>
  </w:style>
  <w:style w:type="paragraph" w:styleId="ConsPlusNormal" w:customStyle="1">
    <w:name w:val="ConsPlusNormal"/>
    <w:qFormat/>
    <w:rsid w:val="00180c19"/>
    <w:pPr>
      <w:widowControl w:val="false"/>
      <w:suppressAutoHyphens w:val="true"/>
      <w:bidi w:val="0"/>
      <w:spacing w:lineRule="auto" w:line="240" w:before="0" w:after="0"/>
      <w:ind w:firstLine="720"/>
      <w:jc w:val="left"/>
    </w:pPr>
    <w:rPr>
      <w:rFonts w:ascii="Arial" w:hAnsi="Arial" w:eastAsia="Times New Roman" w:cs="Arial"/>
      <w:color w:val="auto"/>
      <w:kern w:val="0"/>
      <w:sz w:val="20"/>
      <w:szCs w:val="20"/>
      <w:lang w:val="ru-RU" w:eastAsia="ru-RU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9">
    <w:name w:val="Table Grid"/>
    <w:basedOn w:val="a1"/>
    <w:uiPriority w:val="59"/>
    <w:rsid w:val="002a1189"/>
    <w:pPr>
      <w:spacing w:after="0" w:line="240" w:lineRule="auto"/>
    </w:pPr>
    <w:rPr>
      <w:lang w:eastAsia="ru-RU"/>
      <w:sz w:val="2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 pitchFamily="0" charset="1"/>
        <a:ea typeface=""/>
        <a:cs typeface=""/>
      </a:majorFont>
      <a:minorFont>
        <a:latin typeface="Calibri" panose="020F050202020403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Application>LibreOffice/7.6.4.1$Windows_X86_64 LibreOffice_project/e19e193f88cd6c0525a17fb7a176ed8e6a3e2aa1</Application>
  <AppVersion>15.0000</AppVersion>
  <Pages>23</Pages>
  <Words>4639</Words>
  <Characters>36250</Characters>
  <CharactersWithSpaces>41849</CharactersWithSpaces>
  <Paragraphs>784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2025-02-05T06:54:00Z</dcterms:created>
  <dc:creator>use</dc:creator>
  <dc:description/>
  <dc:language>ru-RU</dc:language>
  <cp:lastModifiedBy/>
  <cp:lastPrinted>2024-12-10T06:55:00Z</cp:lastPrinted>
  <dcterms:modified xsi:type="dcterms:W3CDTF">2025-03-04T13:42:59Z</dcterms:modified>
  <cp:revision>49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