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19.02.2025                                                                                                          № 44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23.12.2024 № 331)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197, от 08.08.2023 № 206, от 28.05.2024 № 126, от 28.06.2024 № 153, от 23.12.2024 № 331)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</w:t>
        <w:tab/>
        <w:t>Пункт 4.21.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«4.21.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((СКВ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>) x 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sz w:val="28"/>
          <w:szCs w:val="28"/>
        </w:rPr>
        <w:t>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/>
        <w:t xml:space="preserve"> </w:t>
      </w:r>
      <w:r>
        <w:rPr>
          <w:sz w:val="28"/>
          <w:szCs w:val="28"/>
        </w:rPr>
        <w:t xml:space="preserve">Пункт 6.20.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«Оплата труда руководителя Учреждения, его заместителей»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>, (1)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тп</w:t>
      </w:r>
      <w:r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((СКВ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>) x 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0"/>
          <w:szCs w:val="20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>), (2)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пф1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0"/>
          <w:szCs w:val="20"/>
        </w:rPr>
        <w:t>пф2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мес</w:t>
      </w:r>
      <w:r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lang w:eastAsia="en-US"/>
        </w:rPr>
        <w:t>рк</w:t>
      </w:r>
      <w:r>
        <w:rPr>
          <w:rFonts w:eastAsia="Calibri"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sz w:val="28"/>
          <w:szCs w:val="28"/>
        </w:rPr>
        <w:t>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sharypovo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54f6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c854f6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854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854f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4</Pages>
  <Words>1065</Words>
  <Characters>7159</Characters>
  <CharactersWithSpaces>8347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2025-02-13T04:35:00Z</dcterms:created>
  <dc:creator>Пользователь Windows</dc:creator>
  <dc:description/>
  <dc:language>ru-RU</dc:language>
  <cp:lastModifiedBy/>
  <dcterms:modified xsi:type="dcterms:W3CDTF">2025-03-12T16:50:15Z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