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0" b="0"/>
            <wp:wrapTight wrapText="bothSides">
              <wp:wrapPolygon edited="0">
                <wp:start x="7324" y="0"/>
                <wp:lineTo x="-17" y="0"/>
                <wp:lineTo x="-17" y="21199"/>
                <wp:lineTo x="7324" y="21199"/>
                <wp:lineTo x="12565" y="21199"/>
                <wp:lineTo x="20966" y="21199"/>
                <wp:lineTo x="20966" y="671"/>
                <wp:lineTo x="15705" y="0"/>
                <wp:lineTo x="7324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19.02.2025</w:t>
        <w:tab/>
        <w:tab/>
        <w:tab/>
        <w:tab/>
        <w:tab/>
        <w:t xml:space="preserve">                                         </w:t>
        <w:tab/>
        <w:t xml:space="preserve">             № 43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редакции от 23.12.2024 № 330)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93, от 18.05.2022 № 153, 10.06.2022 № 194, от 09.01.2023 № 3, от 18.05.2023 № 130, от 08.12.2023 № 318, от 23.12.2024 № 330) следующие изменения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В приложении к постановлению «</w:t>
      </w:r>
      <w:r>
        <w:rPr>
          <w:rFonts w:ascii="Times New Roman" w:hAnsi="Times New Roman"/>
          <w:sz w:val="28"/>
          <w:szCs w:val="28"/>
          <w:lang w:eastAsia="ru-RU"/>
        </w:rPr>
        <w:t>Положение об оплате труда работников муниципального бюджетного учреждения «Информационно - методический центр работников образования города Шарыпово»:</w:t>
      </w:r>
    </w:p>
    <w:p>
      <w:pPr>
        <w:pStyle w:val="Normal"/>
        <w:spacing w:lineRule="auto" w:line="240" w:before="0" w:after="0"/>
        <w:ind w:firstLine="708" w:right="-1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 Пункт 4.19.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«4.19.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>, (1)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((СКВ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>) x 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рк</w:t>
      </w:r>
      <w:r>
        <w:rPr>
          <w:rFonts w:ascii="Times New Roman" w:hAnsi="Times New Roman"/>
          <w:sz w:val="28"/>
          <w:szCs w:val="28"/>
        </w:rPr>
        <w:t>)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 /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), (2)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</w:rPr>
        <w:t>рк</w:t>
      </w:r>
      <w:r>
        <w:rPr>
          <w:rFonts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Пункт 6.20. раздела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VI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«Оплата труда руководителя Учреждения, его заместителей» изложить в новой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«6.20.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>, (1)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((СКВ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>) x 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рк</w:t>
      </w:r>
      <w:r>
        <w:rPr>
          <w:rFonts w:ascii="Times New Roman" w:hAnsi="Times New Roman"/>
          <w:sz w:val="28"/>
          <w:szCs w:val="28"/>
        </w:rPr>
        <w:t>)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 /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), (2)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</w:rPr>
        <w:t>рк</w:t>
      </w:r>
      <w:r>
        <w:rPr>
          <w:rFonts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sharypovo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 w:right="-1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 w:right="-1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города Шарыпово</w:t>
        <w:tab/>
        <w:t xml:space="preserve">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1269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51269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5126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51269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3</Pages>
  <Words>1073</Words>
  <Characters>6995</Characters>
  <CharactersWithSpaces>8137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2025-02-13T04:44:00Z</dcterms:created>
  <dc:creator>Пользователь Windows</dc:creator>
  <dc:description/>
  <dc:language>ru-RU</dc:language>
  <cp:lastModifiedBy>Пользователь Windows</cp:lastModifiedBy>
  <dcterms:modified xsi:type="dcterms:W3CDTF">2025-02-21T10:00:00Z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