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080" b="5080"/>
                <wp:wrapNone/>
                <wp:docPr id="1" name="Прямоугольник 2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path="m0,0l-2147483645,0l-2147483645,-2147483646l0,-2147483646xe" fillcolor="white" stroked="t" o:allowincell="f" style="position:absolute;margin-left:0pt;margin-top:0pt;width:49.95pt;height:49.9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w:drawing>
          <wp:inline distT="0" distB="0" distL="0" distR="0">
            <wp:extent cx="525780" cy="746760"/>
            <wp:effectExtent l="0" t="0" r="0" b="0"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АДМИНИСТРАЦИЯ ГОРОДА ШАРЫПОВО КРАСНОЯРСКОГО КРАЯ</w: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ПОСТАНОВЛЕНИЕ</w:t>
      </w:r>
    </w:p>
    <w:p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                              </w:t>
      </w:r>
    </w:p>
    <w:p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09.01.2025                                       </w:t>
        <w:tab/>
        <w:tab/>
        <w:tab/>
        <w:tab/>
        <w:tab/>
        <w:tab/>
        <w:t xml:space="preserve">                 № 1</w:t>
      </w:r>
    </w:p>
    <w:p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 внесении изменений и дополнений в постановление Администрации города Шарыпово от 30.07.2019 № 160 «Об утверждении Положения о системе оплаты и стимулирования труда работников муниципальных учреждений, подведомственных Отделу спорта и молодежной политики Администрации города Шарыпово» (в редакции от 17.12.2024 №322)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ПОСТАНОВЛЯЮ: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Внести в постановление Администрации города  Шарыпово от 30.07.2019 №160 «Об утверждении Положения о системе оплаты и стимулирования труда работников муниципальных учреждений, подведомственных Отделу спорта и молодежной политики Администрации города Шарыпово» (в редакции от 25.09.2019 №189, от 11.12.2019 №271, от 07.05.2020 №92, от 30.09.2020 №200, от 19.01.2021 №10, от 20.02.2021 №43, от 20.12.2021 №282, от 12.01.2022 №15, от 18.05.2022 №151, от 21.06.2022 №207; от 16.01.2023 №16; от 10.04.2023 №86; от 19.05.2023 №133; от 31.05.2023 №142; от 09.10.2023 №247; от 22.12.2023 №337; от 16.05.2024 №111; от 14.06.2024 №136; от 17.12.2024 №322) следующие изменения:</w:t>
      </w:r>
    </w:p>
    <w:p>
      <w:pPr>
        <w:pStyle w:val="ListParagraph"/>
        <w:spacing w:lineRule="auto" w:line="240" w:before="0"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 В приложении к постановлению:</w:t>
      </w:r>
    </w:p>
    <w:p>
      <w:pPr>
        <w:pStyle w:val="ListParagraph"/>
        <w:spacing w:lineRule="auto" w:line="240" w:before="0" w:after="0"/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1.1.1. В таблице 3 подпункта 2.3.3. пункта 2.3. раздела 2 «Минимальные размеры окладов (должностных окладов), ставок заработной платы» строку ПГК «Общеотраслевые должности служащих четвертого уровня» изложить в новой редакции: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</w:t>
      </w:r>
    </w:p>
    <w:tbl>
      <w:tblPr>
        <w:tblW w:w="9356" w:type="dxa"/>
        <w:jc w:val="left"/>
        <w:tblInd w:w="-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977"/>
        <w:gridCol w:w="2692"/>
        <w:gridCol w:w="3687"/>
      </w:tblGrid>
      <w:tr>
        <w:trPr>
          <w:trHeight w:val="240" w:hRule="atLeast"/>
          <w:cantSplit w:val="true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ind w:hanging="17" w:left="17" w:right="-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ind w:hanging="17" w:left="17" w:right="-3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ind w:hanging="17" w:left="17" w:righ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>
          <w:trHeight w:val="240" w:hRule="atLeast"/>
          <w:cantSplit w:val="true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17" w:left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17" w:left="-71" w:right="-3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Главный инженер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17" w:left="17" w:right="-3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10 418</w:t>
            </w:r>
          </w:p>
        </w:tc>
      </w:tr>
      <w:tr>
        <w:trPr>
          <w:trHeight w:val="240" w:hRule="atLeast"/>
          <w:cantSplit w:val="true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ind w:hanging="17" w:left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3 квалификационный уровень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hanging="17" w:left="-71" w:right="-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Начальник структурного подразделения   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ind w:hanging="17" w:left="17" w:right="-3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11 219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».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1.1.2. Таблицу 12 подпункта 6.2.2. пункта 6.2. раздела 6 «Выплаты стимулирующего характера для работников центра физкультурно-спортивной подготовки (за исключением руководителя учреждения и его заместителей)» после строки «Начальник структурного подразделения» дополнить строками следующего содержания:</w:t>
      </w:r>
    </w:p>
    <w:p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«                                                                                                                          </w:t>
      </w:r>
    </w:p>
    <w:tbl>
      <w:tblPr>
        <w:tblStyle w:val="a9"/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8"/>
        <w:gridCol w:w="2864"/>
        <w:gridCol w:w="3544"/>
        <w:gridCol w:w="1529"/>
      </w:tblGrid>
      <w:tr>
        <w:trPr/>
        <w:tc>
          <w:tcPr>
            <w:tcW w:w="1418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6"/>
                <w:szCs w:val="26"/>
                <w:lang w:val="ru-RU" w:bidi="ar-SA"/>
              </w:rPr>
              <w:t>Главный инженер</w:t>
            </w:r>
          </w:p>
        </w:tc>
        <w:tc>
          <w:tcPr>
            <w:tcW w:w="7937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color w:themeColor="text1"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  <w:kern w:val="0"/>
                <w:sz w:val="26"/>
                <w:szCs w:val="26"/>
                <w:lang w:val="ru-RU" w:bidi="ar-SA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>
        <w:trPr/>
        <w:tc>
          <w:tcPr>
            <w:tcW w:w="141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8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обеспечение эффективной эксплуатации, технического обслуживания,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своевременного ремонта электроустановок и электрооборудования</w:t>
            </w:r>
          </w:p>
        </w:tc>
        <w:tc>
          <w:tcPr>
            <w:tcW w:w="354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ежемесячно: отсутствие аварийных ситуаций, бесперебойная работа электроустановок и электрооборудования</w:t>
            </w:r>
          </w:p>
        </w:tc>
        <w:tc>
          <w:tcPr>
            <w:tcW w:w="152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30 баллов</w:t>
            </w:r>
          </w:p>
        </w:tc>
      </w:tr>
      <w:tr>
        <w:trPr/>
        <w:tc>
          <w:tcPr>
            <w:tcW w:w="141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8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6"/>
                <w:szCs w:val="26"/>
                <w:lang w:val="ru-RU" w:bidi="ar-SA"/>
              </w:rPr>
              <w:t>проведение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6"/>
                <w:szCs w:val="26"/>
                <w:lang w:val="ru-RU" w:bidi="ar-SA"/>
              </w:rPr>
              <w:t>профилактических осмотров, технического обслуживания и планово-предупредительных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6"/>
                <w:szCs w:val="26"/>
                <w:lang w:val="ru-RU" w:bidi="ar-SA"/>
              </w:rPr>
              <w:t>ремонтов электроустановок, электрооборудования, конструктивных элементов здания</w:t>
            </w:r>
          </w:p>
        </w:tc>
        <w:tc>
          <w:tcPr>
            <w:tcW w:w="354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6"/>
                <w:szCs w:val="26"/>
                <w:lang w:val="ru-RU" w:bidi="ar-SA"/>
              </w:rPr>
              <w:t>ежемесячно: оценивается по факту отсутствия обоснованных зафиксированных замечаний</w:t>
            </w:r>
          </w:p>
        </w:tc>
        <w:tc>
          <w:tcPr>
            <w:tcW w:w="152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6"/>
                <w:szCs w:val="26"/>
                <w:lang w:val="ru-RU" w:bidi="ar-SA"/>
              </w:rPr>
              <w:t>30 баллов</w:t>
            </w:r>
          </w:p>
        </w:tc>
      </w:tr>
      <w:tr>
        <w:trPr/>
        <w:tc>
          <w:tcPr>
            <w:tcW w:w="141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8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6"/>
                <w:szCs w:val="26"/>
                <w:lang w:val="ru-RU" w:bidi="ar-SA"/>
              </w:rPr>
              <w:t>обеспечение необходимого уровня технической оснащенности учреждения, сокращение издержек (материальных, финансовых, трудовых), рациональное использование технических ресурсов, высокое качество оказываемых услуг</w:t>
            </w:r>
          </w:p>
        </w:tc>
        <w:tc>
          <w:tcPr>
            <w:tcW w:w="354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6"/>
                <w:szCs w:val="26"/>
                <w:lang w:val="ru-RU" w:bidi="ar-SA"/>
              </w:rPr>
              <w:t>ежемесячно: оценивается по факту отсутствия обоснованных зафиксированных замечаний</w:t>
            </w:r>
          </w:p>
        </w:tc>
        <w:tc>
          <w:tcPr>
            <w:tcW w:w="152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6"/>
                <w:szCs w:val="26"/>
                <w:lang w:val="ru-RU" w:bidi="ar-SA"/>
              </w:rPr>
              <w:t>25 баллов</w:t>
            </w:r>
          </w:p>
        </w:tc>
      </w:tr>
      <w:tr>
        <w:trPr/>
        <w:tc>
          <w:tcPr>
            <w:tcW w:w="141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8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6"/>
                <w:szCs w:val="26"/>
                <w:lang w:val="ru-RU" w:bidi="ar-SA"/>
              </w:rPr>
              <w:t>осуществление контроля за правильной эксплуатацией оборудования, выявление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6"/>
                <w:szCs w:val="26"/>
                <w:lang w:val="ru-RU" w:bidi="ar-SA"/>
              </w:rPr>
              <w:t>причин сбоев и аварий при эксплуатации оборудования, мер по их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6"/>
                <w:szCs w:val="26"/>
                <w:lang w:val="ru-RU" w:bidi="ar-SA"/>
              </w:rPr>
              <w:t>предупреждению и устранению</w:t>
            </w:r>
          </w:p>
        </w:tc>
        <w:tc>
          <w:tcPr>
            <w:tcW w:w="354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6"/>
                <w:szCs w:val="26"/>
                <w:lang w:val="ru-RU" w:bidi="ar-SA"/>
              </w:rPr>
              <w:t>ежемесячно: отсутствие аварийных ситуаций, бесперебойная работа оборудования</w:t>
            </w:r>
          </w:p>
        </w:tc>
        <w:tc>
          <w:tcPr>
            <w:tcW w:w="152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6"/>
                <w:szCs w:val="26"/>
                <w:lang w:val="ru-RU" w:bidi="ar-SA"/>
              </w:rPr>
              <w:t>25 баллов</w:t>
            </w:r>
          </w:p>
        </w:tc>
      </w:tr>
      <w:tr>
        <w:trPr/>
        <w:tc>
          <w:tcPr>
            <w:tcW w:w="141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7937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color w:themeColor="text1"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  <w:kern w:val="0"/>
                <w:sz w:val="26"/>
                <w:szCs w:val="26"/>
                <w:lang w:val="ru-RU" w:bidi="ar-SA"/>
              </w:rPr>
              <w:t>Выплата за интенсивность и высокие результаты</w:t>
            </w:r>
          </w:p>
        </w:tc>
      </w:tr>
      <w:tr>
        <w:trPr/>
        <w:tc>
          <w:tcPr>
            <w:tcW w:w="141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8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оперативное реагирование и высокое качество выполнения текущих работ и дополнительных разовых поручений (не входящей в обязанности по своей должности)</w:t>
            </w:r>
          </w:p>
        </w:tc>
        <w:tc>
          <w:tcPr>
            <w:tcW w:w="354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6"/>
                <w:szCs w:val="26"/>
                <w:lang w:val="ru-RU" w:bidi="ar-SA"/>
              </w:rPr>
              <w:t>ежемесячно: выполнение срочных, непредвиденных и особо важных работ, отдельных дополнительных поручений в срок и в полном объеме 100%</w:t>
            </w:r>
          </w:p>
        </w:tc>
        <w:tc>
          <w:tcPr>
            <w:tcW w:w="152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 xml:space="preserve">30 </w:t>
            </w:r>
            <w:r>
              <w:rPr>
                <w:rFonts w:cs="Times New Roman" w:ascii="Times New Roman" w:hAnsi="Times New Roman"/>
                <w:color w:themeColor="text1" w:val="000000"/>
                <w:kern w:val="0"/>
                <w:sz w:val="26"/>
                <w:szCs w:val="26"/>
                <w:lang w:val="ru-RU" w:bidi="ar-SA"/>
              </w:rPr>
              <w:t>баллов</w:t>
            </w:r>
          </w:p>
        </w:tc>
      </w:tr>
      <w:tr>
        <w:trPr/>
        <w:tc>
          <w:tcPr>
            <w:tcW w:w="141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8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участие в подготовке и проведении мероприятий, проводимых учреждением</w:t>
            </w:r>
          </w:p>
        </w:tc>
        <w:tc>
          <w:tcPr>
            <w:tcW w:w="354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6"/>
                <w:szCs w:val="26"/>
                <w:lang w:val="ru-RU" w:bidi="ar-SA"/>
              </w:rPr>
              <w:t>ежемесячно: оценивается по факту проводимых мероприятий</w:t>
            </w:r>
          </w:p>
        </w:tc>
        <w:tc>
          <w:tcPr>
            <w:tcW w:w="152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2 балла</w:t>
            </w:r>
          </w:p>
        </w:tc>
      </w:tr>
      <w:tr>
        <w:trPr/>
        <w:tc>
          <w:tcPr>
            <w:tcW w:w="141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7937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  <w:kern w:val="0"/>
                <w:sz w:val="26"/>
                <w:szCs w:val="26"/>
                <w:lang w:val="ru-RU" w:bidi="ar-SA"/>
              </w:rPr>
              <w:t>Выплата за качество выполняемых работ</w:t>
            </w:r>
          </w:p>
        </w:tc>
      </w:tr>
      <w:tr>
        <w:trPr/>
        <w:tc>
          <w:tcPr>
            <w:tcW w:w="141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8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6"/>
                <w:szCs w:val="26"/>
                <w:lang w:val="ru-RU" w:bidi="ar-SA"/>
              </w:rPr>
              <w:t>оперативное принятие мер, включая своевременное информирование руководства по устранению нарушений техники безопасности, противопожарных и иных правил, создающих угрозу деятельности учреждения, работникам</w:t>
            </w:r>
          </w:p>
        </w:tc>
        <w:tc>
          <w:tcPr>
            <w:tcW w:w="354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6"/>
                <w:szCs w:val="26"/>
                <w:lang w:val="ru-RU" w:bidi="ar-SA"/>
              </w:rPr>
              <w:t xml:space="preserve">ежемесячно: 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52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6"/>
                <w:szCs w:val="26"/>
                <w:lang w:val="ru-RU" w:bidi="ar-SA"/>
              </w:rPr>
              <w:t>25 баллов</w:t>
            </w:r>
          </w:p>
        </w:tc>
      </w:tr>
      <w:tr>
        <w:trPr/>
        <w:tc>
          <w:tcPr>
            <w:tcW w:w="141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8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6"/>
                <w:szCs w:val="26"/>
                <w:lang w:val="ru-RU" w:bidi="ar-SA"/>
              </w:rPr>
              <w:t>соблюдение технологической дисциплины, правил  и норм по охране труда, техники безопасности, производственной санитарии и пожарной безопасности, требований природоохранных, санитарных органов, а также органов осуществляющих технических надзор</w:t>
            </w:r>
          </w:p>
        </w:tc>
        <w:tc>
          <w:tcPr>
            <w:tcW w:w="354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6"/>
                <w:szCs w:val="26"/>
                <w:lang w:val="ru-RU" w:bidi="ar-SA"/>
              </w:rPr>
              <w:t xml:space="preserve">ежемесячно: 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52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6"/>
                <w:szCs w:val="26"/>
                <w:lang w:val="ru-RU" w:bidi="ar-SA"/>
              </w:rPr>
              <w:t>25 баллов</w:t>
            </w:r>
          </w:p>
        </w:tc>
      </w:tr>
      <w:tr>
        <w:trPr/>
        <w:tc>
          <w:tcPr>
            <w:tcW w:w="141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8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6"/>
                <w:szCs w:val="26"/>
                <w:lang w:val="ru-RU" w:bidi="ar-SA"/>
              </w:rPr>
              <w:t>своевременная подготовка технической документации (чертежей, спецификаций, технических условий, технологических карт), а также отчетной документации по направлениям деятельности</w:t>
            </w:r>
          </w:p>
        </w:tc>
        <w:tc>
          <w:tcPr>
            <w:tcW w:w="354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6"/>
                <w:szCs w:val="26"/>
                <w:lang w:val="ru-RU" w:bidi="ar-SA"/>
              </w:rPr>
              <w:t xml:space="preserve">ежемесячно: 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52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6"/>
                <w:szCs w:val="26"/>
                <w:lang w:val="ru-RU" w:bidi="ar-SA"/>
              </w:rPr>
              <w:t>25 баллов</w:t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>».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1.1.3. Таблицу 13 подпункта 6.3.1. пункта 6.3. раздела 6 «Выплаты стимулирующего характера для работников центра физкультурно-спортивной подготовки (за исключением руководителя учреждения и его заместителей)» после строки «Начальник структурного подразделения» дополнить строками следующего содержания:</w:t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«                                                                                                                            </w:t>
      </w:r>
    </w:p>
    <w:tbl>
      <w:tblPr>
        <w:tblW w:w="9276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firstRow="0" w:noVBand="0" w:lastRow="0" w:firstColumn="0" w:lastColumn="0" w:noHBand="0" w:val="0000"/>
      </w:tblPr>
      <w:tblGrid>
        <w:gridCol w:w="1418"/>
        <w:gridCol w:w="3826"/>
        <w:gridCol w:w="2472"/>
        <w:gridCol w:w="1559"/>
      </w:tblGrid>
      <w:tr>
        <w:trPr>
          <w:trHeight w:val="785" w:hRule="atLeast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Главный инженер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успешное и добросовестное   </w:t>
            </w:r>
          </w:p>
          <w:p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исполнение   профессиональной </w:t>
            </w:r>
          </w:p>
          <w:p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деятельности 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ind w:firstLine="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отсутствие обоснованных   </w:t>
            </w:r>
          </w:p>
          <w:p>
            <w:pPr>
              <w:pStyle w:val="ConsPlusCell"/>
              <w:ind w:firstLine="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зафиксированных замечаний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</w:t>
            </w:r>
          </w:p>
        </w:tc>
      </w:tr>
      <w:tr>
        <w:trPr>
          <w:trHeight w:val="785" w:hRule="atLeast"/>
        </w:trPr>
        <w:tc>
          <w:tcPr>
            <w:tcW w:w="141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своевременное и качественное исполнение и предоставление запрашиваемой у учреждения информации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ind w:firstLine="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отсутствие обоснованных   </w:t>
            </w:r>
          </w:p>
          <w:p>
            <w:pPr>
              <w:pStyle w:val="ConsPlusCell"/>
              <w:ind w:firstLine="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зафиксированных</w:t>
            </w:r>
          </w:p>
          <w:p>
            <w:pPr>
              <w:pStyle w:val="ConsPlusCell"/>
              <w:ind w:firstLine="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замечаний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</w:t>
            </w:r>
          </w:p>
        </w:tc>
      </w:tr>
      <w:tr>
        <w:trPr>
          <w:trHeight w:val="785" w:hRule="atLeast"/>
        </w:trPr>
        <w:tc>
          <w:tcPr>
            <w:tcW w:w="141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соблюдение  регламентов,     </w:t>
              <w:br/>
              <w:t xml:space="preserve">стандартов, технологий,      </w:t>
              <w:br/>
              <w:t xml:space="preserve">требований при   выполнении работ, оказании услуг   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ind w:firstLine="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отсутствие  обоснованных   </w:t>
              <w:br/>
              <w:t xml:space="preserve">зафиксированных замечаний    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</w:t>
            </w:r>
          </w:p>
        </w:tc>
      </w:tr>
      <w:tr>
        <w:trPr>
          <w:trHeight w:val="785" w:hRule="atLeast"/>
        </w:trPr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качественная  подготовка и     </w:t>
              <w:br/>
              <w:t xml:space="preserve">своевременная  сдача отчетности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ind w:firstLine="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отсутствие обоснованных   </w:t>
              <w:br/>
              <w:t>зафиксированных</w:t>
              <w:br/>
              <w:t xml:space="preserve">замечаний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</w:t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».</w:t>
      </w:r>
    </w:p>
    <w:p>
      <w:pPr>
        <w:pStyle w:val="NoSpacing"/>
        <w:numPr>
          <w:ilvl w:val="0"/>
          <w:numId w:val="2"/>
        </w:numPr>
        <w:ind w:firstLine="567" w:left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Контроль за исполнением настоящего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(https://sharypovo.gosuslugi.ru),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 </w:t>
      </w:r>
      <w:r>
        <w:rPr>
          <w:rFonts w:cs="Times New Roman" w:ascii="Times New Roman" w:hAnsi="Times New Roman"/>
          <w:sz w:val="26"/>
          <w:szCs w:val="26"/>
        </w:rPr>
        <w:t>распространяет свое действие на</w:t>
      </w:r>
      <w:r>
        <w:rPr>
          <w:rFonts w:cs="Times New Roman" w:ascii="Times New Roman" w:hAnsi="Times New Roman"/>
          <w:sz w:val="28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правоотношения, возникшие с 17.12.2024 г.</w:t>
      </w:r>
    </w:p>
    <w:p>
      <w:pPr>
        <w:pStyle w:val="Admpr-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Admpr-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Admpr-"/>
        <w:ind w:hanging="0"/>
        <w:rPr>
          <w:sz w:val="26"/>
          <w:szCs w:val="26"/>
        </w:rPr>
      </w:pPr>
      <w:r>
        <w:rPr>
          <w:sz w:val="26"/>
          <w:szCs w:val="26"/>
        </w:rPr>
        <w:t>Глава города Шарыпово                                                                                 В.Г. Хохлов</w:t>
      </w:r>
      <w:bookmarkStart w:id="0" w:name="_GoBack"/>
      <w:bookmarkEnd w:id="0"/>
    </w:p>
    <w:sectPr>
      <w:type w:val="nextPage"/>
      <w:pgSz w:w="11906" w:h="16838"/>
      <w:pgMar w:left="1701" w:right="850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284" w:hanging="57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29d0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заголовок Знак"/>
    <w:basedOn w:val="DefaultParagraphFont"/>
    <w:uiPriority w:val="99"/>
    <w:qFormat/>
    <w:rsid w:val="003329d0"/>
    <w:rPr>
      <w:rFonts w:ascii="Arial" w:hAnsi="Arial" w:eastAsia="Times New Roman" w:cs="Arial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56317"/>
    <w:rPr>
      <w:rFonts w:ascii="Segoe UI" w:hAnsi="Segoe UI" w:eastAsia="Times New Roman" w:cs="Segoe UI"/>
      <w:sz w:val="18"/>
      <w:szCs w:val="18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ubtitle">
    <w:name w:val="Subtitle"/>
    <w:basedOn w:val="Normal"/>
    <w:link w:val="Style14"/>
    <w:uiPriority w:val="99"/>
    <w:qFormat/>
    <w:rsid w:val="003329d0"/>
    <w:pPr>
      <w:spacing w:before="0" w:after="60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paragraph" w:styleId="NoSpacing">
    <w:name w:val="No Spacing"/>
    <w:uiPriority w:val="1"/>
    <w:qFormat/>
    <w:rsid w:val="003329d0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3329d0"/>
    <w:pPr>
      <w:ind w:left="720"/>
    </w:pPr>
    <w:rPr>
      <w:lang w:eastAsia="en-US"/>
    </w:rPr>
  </w:style>
  <w:style w:type="paragraph" w:styleId="Admpr-" w:customStyle="1">
    <w:name w:val="adm_p_r-абзац"/>
    <w:qFormat/>
    <w:rsid w:val="003329d0"/>
    <w:pPr>
      <w:widowControl/>
      <w:bidi w:val="0"/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5631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Cell" w:customStyle="1">
    <w:name w:val="ConsPlusCell"/>
    <w:uiPriority w:val="99"/>
    <w:qFormat/>
    <w:rsid w:val="00814cc6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a1189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Application>LibreOffice/7.6.4.1$Windows_X86_64 LibreOffice_project/e19e193f88cd6c0525a17fb7a176ed8e6a3e2aa1</Application>
  <AppVersion>15.0000</AppVersion>
  <Pages>4</Pages>
  <Words>702</Words>
  <Characters>5443</Characters>
  <CharactersWithSpaces>6561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2024-12-10T04:45:00Z</dcterms:created>
  <dc:creator>use</dc:creator>
  <dc:description/>
  <dc:language>ru-RU</dc:language>
  <cp:lastModifiedBy/>
  <cp:lastPrinted>2024-12-10T06:55:00Z</cp:lastPrinted>
  <dcterms:modified xsi:type="dcterms:W3CDTF">2025-01-10T10:52:27Z</dcterms:modified>
  <cp:revision>281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