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;Times New Roman" w:hAnsi="Times New Roman;Times New Roman" w:cs="Times New Roman;Times New Roman"/>
                <w:b/>
                <w:sz w:val="25"/>
                <w:szCs w:val="25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;Times New Roman" w:ascii="Times New Roman;Times New Roman" w:hAnsi="Times New Roman;Times New Roman"/>
                <w:b/>
                <w:sz w:val="25"/>
                <w:szCs w:val="25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;Times New Roman" w:hAnsi="Times New Roman;Times New Roman" w:cs="Times New Roman;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cs="Times New Roman;Times New Roman" w:ascii="Times New Roman;Times New Roman" w:hAnsi="Times New Roman;Times New Roman"/>
                <w:b/>
                <w:sz w:val="25"/>
                <w:szCs w:val="25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;Times New Roman" w:hAnsi="Times New Roman;Times New Roman" w:cs="Times New Roman;Times New Roman"/>
                <w:sz w:val="25"/>
                <w:szCs w:val="25"/>
              </w:rPr>
            </w:pPr>
            <w:bookmarkStart w:id="1" w:name="_Hlk115176197"/>
            <w:r>
              <w:rPr>
                <w:rFonts w:cs="Times New Roman;Times New Roman" w:ascii="Times New Roman;Times New Roman" w:hAnsi="Times New Roman;Times New Roman"/>
                <w:b/>
                <w:sz w:val="25"/>
                <w:szCs w:val="25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;Times New Roman" w:hAnsi="Times New Roman;Times New Roman" w:cs="Times New Roman;Times New Roman"/>
                <w:b/>
                <w:sz w:val="25"/>
                <w:szCs w:val="25"/>
              </w:rPr>
            </w:pPr>
            <w:r>
              <w:rPr>
                <w:rFonts w:cs="Times New Roman;Times New Roman" w:ascii="Times New Roman;Times New Roman" w:hAnsi="Times New Roman;Times New Roman"/>
                <w:b/>
                <w:sz w:val="25"/>
                <w:szCs w:val="25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cs="Times New Roman;Times New Roman"/>
          <w:b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b/>
          <w:sz w:val="25"/>
          <w:szCs w:val="25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;Times New Roman" w:hAnsi="Times New Roman;Times New Roman" w:cs="Times New Roman;Times New Roman"/>
          <w:b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b/>
          <w:sz w:val="25"/>
          <w:szCs w:val="25"/>
        </w:rPr>
      </w:r>
    </w:p>
    <w:p>
      <w:pPr>
        <w:pStyle w:val="Style19"/>
        <w:ind w:firstLine="8" w:right="0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25.12.2024г.</w:t>
        <w:tab/>
        <w:tab/>
        <w:tab/>
        <w:tab/>
        <w:tab/>
        <w:tab/>
        <w:tab/>
        <w:tab/>
        <w:tab/>
        <w:tab/>
        <w:t>№ 342</w:t>
      </w:r>
    </w:p>
    <w:p>
      <w:pPr>
        <w:pStyle w:val="Normal"/>
        <w:spacing w:lineRule="auto" w:line="240" w:before="0" w:after="0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</w:r>
    </w:p>
    <w:p>
      <w:pPr>
        <w:pStyle w:val="Style19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О внесении изменений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редакции от 11.12.2023 № 322)</w:t>
      </w:r>
    </w:p>
    <w:p>
      <w:pPr>
        <w:pStyle w:val="Style19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</w:r>
    </w:p>
    <w:p>
      <w:pPr>
        <w:pStyle w:val="Style19"/>
        <w:ind w:firstLine="709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34 Устава города Шарыпово,</w:t>
      </w:r>
    </w:p>
    <w:p>
      <w:pPr>
        <w:pStyle w:val="Style19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ПОСТАНОВЛЯЮ: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1. Внести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ред. от 21.03.2014 №69; от 26.09.2014 №218; от 13.11.2014 № 280; от 06.04.2015 №55; от 18.05.2015 №83; от 25.03.2016 №42; от 29.11.2016 №225; от 22.02.2017 №39; от 11.12.2017 №269; от 25.05.2018 №138; от 23.09.2019 №186; от 06.05.2020 №86; от 22.09.2020 №190; от 15.02.2022 № 51; от 20.05.2022 № 160; от 28.07.2022 № 240; от 17.05.2023 № 126; от 11.12.2023 №322) следующие изменения: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1.1. В приложении к постановлению: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1.1.1. Подпункт 5.3.3.пункта 5.3. раздела 5 «Выплаты стимулирующего характера для работников Учреждения (за исключением руководителя учреждения) изложить в новой редакции: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«</w:t>
      </w:r>
      <w:r>
        <w:rPr>
          <w:rFonts w:cs="Times New Roman;Times New Roman" w:ascii="Times New Roman;Times New Roman" w:hAnsi="Times New Roman;Times New Roman"/>
          <w:color w:val="000000"/>
          <w:sz w:val="25"/>
          <w:szCs w:val="25"/>
        </w:rPr>
        <w:t xml:space="preserve">5.3.3. </w:t>
      </w:r>
      <w:r>
        <w:rPr>
          <w:rFonts w:cs="Times New Roman;Times New Roman" w:ascii="Times New Roman;Times New Roman" w:hAnsi="Times New Roman;Times New Roman"/>
          <w:sz w:val="25"/>
          <w:szCs w:val="25"/>
        </w:rPr>
        <w:t>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Работникам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условиями.</w:t>
      </w:r>
      <w:r>
        <w:rPr>
          <w:sz w:val="25"/>
          <w:szCs w:val="25"/>
        </w:rPr>
        <w:t xml:space="preserve"> 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Размер увеличения рассчитывается по формуле: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  <w:lang w:val="en-US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 xml:space="preserve">СКВув = Отп x Кув – Отп,(1), 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где: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Кув – коэффициент увеличения специальной краевой выплаты.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Кув = (Зпф1 + (3200 x Кмес x Крк) + Зпф2) / (Зпф1 + Зпф2),(2)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где: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Зпф1 -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Зпф2 -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При расчете Кув подлежит округлению до четырех знаков после запятой.».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1.1.2. восьмой абзац подпункта 7.11. раздела 7 «Условия оплаты труда директора Учреждения» изложить в новой редакции: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«Специальная краевая выплата устанавливается в целях повышения уровня оплаты труда директора Учреждения.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Директору Учреждения,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Директору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условиями.</w:t>
      </w:r>
      <w:r>
        <w:rPr>
          <w:sz w:val="25"/>
          <w:szCs w:val="25"/>
        </w:rPr>
        <w:t xml:space="preserve"> 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Размер увеличения рассчитывается по формуле: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СКВув = Отп х Кув – Опт, (1)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где: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Кув – коэффициент увеличения специальной краевой выплаты.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Style19"/>
        <w:ind w:firstLine="708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Кув = (Зпф1 + (3200 x Кмес x Крк) + Зпф2) / (Зпф1 + Зпф2),(2)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где: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Зпф1 -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Зпф2 -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tyle19"/>
        <w:ind w:firstLine="708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При расчете Кув подлежит округлению до четырех знаков после запятой.».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  <w:t xml:space="preserve">2. Контроль за исполнением постановления возложить на Первого заместителя Главы города Шарыпово Саюшева Д.В. 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  <w:lang w:val="en-US"/>
          </w:rPr>
          <w:t>https</w:t>
        </w:r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</w:rPr>
          <w:t>://</w:t>
        </w:r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  <w:lang w:val="en-US"/>
          </w:rPr>
          <w:t>sharypovo</w:t>
        </w:r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</w:rPr>
          <w:t>.</w:t>
        </w:r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  <w:lang w:val="en-US"/>
          </w:rPr>
          <w:t>gosuslugi</w:t>
        </w:r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</w:rPr>
          <w:t>.</w:t>
        </w:r>
        <w:r>
          <w:rPr>
            <w:rStyle w:val="Hyperlink"/>
            <w:rFonts w:cs="Times New Roman;Times New Roman" w:ascii="Times New Roman;Times New Roman" w:hAnsi="Times New Roman;Times New Roman"/>
            <w:sz w:val="25"/>
            <w:szCs w:val="25"/>
            <w:lang w:val="en-US"/>
          </w:rPr>
          <w:t>ru</w:t>
        </w:r>
      </w:hyperlink>
      <w:r>
        <w:rPr>
          <w:rFonts w:cs="Times New Roman;Times New Roman" w:ascii="Times New Roman;Times New Roman" w:hAnsi="Times New Roman;Times New Roman"/>
          <w:sz w:val="25"/>
          <w:szCs w:val="25"/>
        </w:rPr>
        <w:t>).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;Times New Roman" w:hAnsi="Times New Roman;Times New Roman" w:cs="Times New Roman;Times New Roman"/>
          <w:sz w:val="25"/>
          <w:szCs w:val="25"/>
        </w:rPr>
      </w:pPr>
      <w:r>
        <w:rPr>
          <w:rFonts w:cs="Times New Roman;Times New Roman" w:ascii="Times New Roman;Times New Roman" w:hAnsi="Times New Roman;Times New Roman"/>
          <w:sz w:val="25"/>
          <w:szCs w:val="25"/>
        </w:rPr>
      </w:r>
    </w:p>
    <w:p>
      <w:pPr>
        <w:pStyle w:val="Normal"/>
        <w:spacing w:lineRule="auto" w:line="240" w:before="0" w:after="0"/>
        <w:ind w:right="283"/>
        <w:rPr/>
      </w:pPr>
      <w:r>
        <w:rPr>
          <w:rFonts w:cs="Times New Roman;Times New Roman" w:ascii="Times New Roman;Times New Roman" w:hAnsi="Times New Roman;Times New Roman"/>
          <w:sz w:val="25"/>
          <w:szCs w:val="25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Normal"/>
        <w:spacing w:before="0" w:after="0"/>
        <w:rPr>
          <w:vanish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560" w:right="707" w:gutter="0" w:header="0" w:top="851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;Times New Roman" w:cs="Times New Roman;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;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;Times New Roman" w:hAnsi="Times New Roman;Times New Roman" w:eastAsia="Times New Roman;Times New Roman" w:cs="Times New Roman;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;Times New Roman"/>
      <w:color w:val="0000FF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LineNumber">
    <w:name w:val="Line Number"/>
    <w:basedOn w:val="Style13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;Times New Roman" w:hAnsi="Times New Roman;Times New Roman" w:cs="Times New Roman;Times New Roman"/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;Times New Roman" w:cs="Times New Roman;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;Times New Roman" w:cs="Arial"/>
      <w:color w:val="auto"/>
      <w:sz w:val="20"/>
      <w:szCs w:val="20"/>
      <w:lang w:val="ru-RU" w:bidi="ar-SA" w:eastAsia="zh-CN"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;Times New Roman" w:cs="Arial"/>
      <w:color w:val="auto"/>
      <w:sz w:val="20"/>
      <w:szCs w:val="20"/>
      <w:lang w:val="ru-RU" w:bidi="ar-SA" w:eastAsia="zh-CN"/>
    </w:rPr>
  </w:style>
  <w:style w:type="paragraph" w:styleId="1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1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eastAsia="Calibri"/>
    </w:rPr>
  </w:style>
  <w:style w:type="paragraph" w:styleId="Style22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LibreOffice/7.6.4.1$Windows_X86_64 LibreOffice_project/e19e193f88cd6c0525a17fb7a176ed8e6a3e2aa1</Application>
  <AppVersion>15.0000</AppVersion>
  <Pages>3</Pages>
  <Words>1101</Words>
  <Characters>7277</Characters>
  <CharactersWithSpaces>8351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2023-12-07T10:07:00Z</dcterms:created>
  <dc:creator>1Servis</dc:creator>
  <dc:description/>
  <cp:keywords/>
  <dc:language>ru-RU</dc:language>
  <cp:lastModifiedBy/>
  <cp:lastPrinted>2023-12-07T16:02:00Z</cp:lastPrinted>
  <dcterms:modified xsi:type="dcterms:W3CDTF">2025-01-09T13:31:25Z</dcterms:modified>
  <cp:revision>16</cp:revision>
  <dc:subject/>
  <dc:title/>
</cp:coreProperties>
</file>