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17.12.2024</w:t>
        <w:tab/>
        <w:tab/>
        <w:tab/>
        <w:tab/>
        <w:tab/>
        <w:tab/>
        <w:tab/>
        <w:tab/>
        <w:tab/>
        <w:tab/>
        <w:tab/>
        <w:t>№ 324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9637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№40, от 10.01.2022 №2, от 14.02.2022 №48, от 19.05.2022 №155, от 09.06.2022 №188, от 13.01.2023 №15, от 11.12.2023 №321)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 Администрации города Шарыпово «</w:t>
      </w:r>
      <w:r>
        <w:rPr>
          <w:rFonts w:cs="Times New Roman" w:ascii="Times New Roman" w:hAnsi="Times New Roman"/>
          <w:bCs/>
          <w:sz w:val="26"/>
          <w:szCs w:val="26"/>
        </w:rPr>
        <w:t>Положение о системе оплаты труда работников Муниципального казенного учреждения «Служба городского хозяйства»»: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1.1.1. </w:t>
        <w:tab/>
        <w:t>В разделе 4 «Выплаты стимулирующего характера»: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1.1.1.1. В абзаце четвертом пункта 4.12 слова «30788 рублей» заменить словами «35904 рубля»;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1.1.1.2. Пункт 4.13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«4.13. Специальная краевая выплата устанавливается в целях повышения уровня оплаты труда работника.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6"/>
          <w:szCs w:val="26"/>
          <w:vertAlign w:val="subscript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6"/>
          <w:szCs w:val="26"/>
          <w:vertAlign w:val="subscript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  <w:vertAlign w:val="subscript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принимается равным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рассчитывается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(3200 x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РК</w:t>
      </w:r>
      <w:r>
        <w:rPr>
          <w:rFonts w:cs="Times New Roman" w:ascii="Times New Roman" w:hAnsi="Times New Roman"/>
          <w:sz w:val="26"/>
          <w:szCs w:val="26"/>
        </w:rPr>
        <w:t>) + 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ПФ2</w:t>
      </w:r>
      <w:r>
        <w:rPr>
          <w:rFonts w:cs="Times New Roman" w:ascii="Times New Roman" w:hAnsi="Times New Roman"/>
          <w:sz w:val="26"/>
          <w:szCs w:val="26"/>
        </w:rPr>
        <w:t>) / (З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подлежит округлению до четырех знаков после запятой.»;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 В пункте 6.9. раздела 6 «Оплата труда руководителя учреждения, его заместителей и главного бухгалтера» абзац 8 изложить в следующей редакции: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Учреждения, его заместителю и главному бухгалтеру.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Руководителю Учреждения, его заместителю и главному бухгалтеру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руководителю Учреждения, его заместителю и главному бухгалтеру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6"/>
          <w:szCs w:val="26"/>
          <w:vertAlign w:val="subscript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6"/>
          <w:szCs w:val="26"/>
          <w:vertAlign w:val="subscript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  <w:vertAlign w:val="subscript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принимается равным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рассчитывается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(3200 x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РК</w:t>
      </w:r>
      <w:r>
        <w:rPr>
          <w:rFonts w:cs="Times New Roman" w:ascii="Times New Roman" w:hAnsi="Times New Roman"/>
          <w:sz w:val="26"/>
          <w:szCs w:val="26"/>
        </w:rPr>
        <w:t>) + 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ПФ2</w:t>
      </w:r>
      <w:r>
        <w:rPr>
          <w:rFonts w:cs="Times New Roman" w:ascii="Times New Roman" w:hAnsi="Times New Roman"/>
          <w:sz w:val="26"/>
          <w:szCs w:val="26"/>
        </w:rPr>
        <w:t>) / (З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6"/>
          <w:szCs w:val="26"/>
          <w:vertAlign w:val="subscript"/>
        </w:rPr>
        <w:t>ПФ2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</w:t>
      </w:r>
      <w:r>
        <w:rPr>
          <w:rFonts w:cs="Times New Roman" w:ascii="Times New Roman" w:hAnsi="Times New Roman"/>
          <w:sz w:val="26"/>
          <w:szCs w:val="26"/>
          <w:vertAlign w:val="subscript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подлежит округлению до четырех знаков после запятой.».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01.01.2025 и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подлежит размещению на официальном сайте муниципального образования города Шарыпово Красноярского </w:t>
      </w:r>
      <w:r>
        <w:rPr>
          <w:rFonts w:cs="Times New Roman" w:ascii="Times New Roman" w:hAnsi="Times New Roman"/>
          <w:sz w:val="26"/>
          <w:szCs w:val="26"/>
        </w:rPr>
        <w:t>края (</w:t>
      </w:r>
      <w:r>
        <w:rPr>
          <w:rFonts w:cs="Times New Roman" w:ascii="Times New Roman" w:hAnsi="Times New Roman"/>
          <w:sz w:val="26"/>
          <w:szCs w:val="26"/>
          <w:lang w:val="en-US"/>
        </w:rPr>
        <w:t>https</w:t>
      </w:r>
      <w:r>
        <w:rPr>
          <w:rFonts w:cs="Times New Roman" w:ascii="Times New Roman" w:hAnsi="Times New Roman"/>
          <w:sz w:val="26"/>
          <w:szCs w:val="26"/>
        </w:rPr>
        <w:t>://</w:t>
      </w:r>
      <w:r>
        <w:rPr>
          <w:rFonts w:cs="Times New Roman" w:ascii="Times New Roman" w:hAnsi="Times New Roman"/>
          <w:sz w:val="26"/>
          <w:szCs w:val="26"/>
          <w:lang w:val="en-US"/>
        </w:rPr>
        <w:t>sharypovo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gosuslugi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Шарыпово</w:t>
        <w:tab/>
        <w:tab/>
        <w:tab/>
        <w:tab/>
        <w:tab/>
        <w:tab/>
        <w:t xml:space="preserve">         </w:t>
        <w:tab/>
        <w:tab/>
        <w:t xml:space="preserve">   В.Г. Хохлов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link w:val="PlainText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6a5d54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link w:val="Style15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ko-KR" w:val="ru-RU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0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LibreOffice/7.6.4.1$Windows_X86_64 LibreOffice_project/e19e193f88cd6c0525a17fb7a176ed8e6a3e2aa1</Application>
  <AppVersion>15.0000</AppVersion>
  <Pages>4</Pages>
  <Words>1179</Words>
  <Characters>7733</Characters>
  <CharactersWithSpaces>8887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2024-12-11T06:15:00Z</dcterms:created>
  <dc:creator>User</dc:creator>
  <dc:description/>
  <dc:language>ru-RU</dc:language>
  <cp:lastModifiedBy>h40121</cp:lastModifiedBy>
  <cp:lastPrinted>2024-12-12T09:23:00Z</cp:lastPrinted>
  <dcterms:modified xsi:type="dcterms:W3CDTF">2024-12-19T03:28:00Z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