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Cs w:val="28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>
                      <w:lang w:val="ru-RU" w:eastAsia="ru-RU"/>
                    </w:rPr>
                    <w:drawing>
                      <wp:inline distT="0" distB="0" distL="0" distR="0">
                        <wp:extent cx="418465" cy="723265"/>
                        <wp:effectExtent l="0" t="0" r="0" b="0"/>
                        <wp:docPr id="1" name="Изображение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Изображение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276" t="-181" r="-276" b="-1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8465" cy="723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Cs w:val="28"/>
                      <w:lang w:val="ru-RU" w:eastAsia="ru-RU"/>
                    </w:rPr>
                  </w:pPr>
                  <w:r>
                    <w:rPr>
                      <w:b/>
                      <w:szCs w:val="28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b/>
                      <w:szCs w:val="28"/>
                    </w:rPr>
                  </w:pPr>
                  <w:bookmarkStart w:id="1" w:name="_Hlk115176197"/>
                  <w:r>
                    <w:rPr>
                      <w:b/>
                      <w:szCs w:val="28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32"/>
          <w:szCs w:val="32"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16.12.2024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317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Cs w:val="28"/>
        </w:rPr>
        <w:t>О внесении изменений в постановление Администрации города Шарыпово от 20.09.2013 г. № 212 «Об утверждении Положения о системе оплаты труда работников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04.12.2023 № 309)</w:t>
      </w:r>
    </w:p>
    <w:p>
      <w:pPr>
        <w:pStyle w:val="Normal"/>
        <w:ind w:firstLine="720" w:right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20" w:right="0"/>
        <w:jc w:val="both"/>
        <w:rPr/>
      </w:pPr>
      <w:r>
        <w:rPr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  </w:t>
      </w:r>
    </w:p>
    <w:p>
      <w:pPr>
        <w:pStyle w:val="Normal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08" w:right="5"/>
        <w:jc w:val="both"/>
        <w:rPr/>
      </w:pPr>
      <w:r>
        <w:rPr>
          <w:szCs w:val="28"/>
        </w:rPr>
        <w:t>1. Внести в постановление Администрации города Шарыпово от 20.09.2013 г. № 212 «Об утверждении Положения о системе оплаты труда работников,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11.11.2013 № 276, 26.09.2014 № 217, 01.04.2015 № 53, 29.06.2015 № 127, от 22.01.2016 № 07, от 10.11.2016  №  204, от 23.01.2017 № 12, от 09.06.2017 № 101, от 08.12.2017 № 226, от 29.12.2017 № 304, от 25.04.2018 № 107, от 20.08.2018 № 199, от 13.12.2018 № 329, от 23.01.2019 №06, от 16.09.2019 № 183, от 05.11.2019 № 230, от 16.12.2019 № 274, от 06.04.2020 № 71, от 17.09.2020 № 181, от 13.01.2021 № 2, от 19.02.2021 № 37, от 11.01.2022 № 3, от 19.05.2022 № 157, от 10.06.2022 № 195, от 11.01.2023 № 9, от 15.05.2023 № 121, от 04.12.2023 №309) следующие изменения:</w:t>
      </w:r>
    </w:p>
    <w:p>
      <w:pPr>
        <w:pStyle w:val="Style23"/>
        <w:ind w:firstLine="708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Администрации города Шарыпово «</w:t>
      </w:r>
      <w:r>
        <w:rPr>
          <w:rFonts w:cs="Times New Roman" w:ascii="Times New Roman" w:hAnsi="Times New Roman"/>
          <w:bCs/>
          <w:sz w:val="28"/>
          <w:szCs w:val="28"/>
        </w:rPr>
        <w:t xml:space="preserve">Положение о </w:t>
      </w:r>
      <w:r>
        <w:rPr>
          <w:rFonts w:cs="Times New Roman" w:ascii="Times New Roman" w:hAnsi="Times New Roman"/>
          <w:sz w:val="28"/>
          <w:szCs w:val="28"/>
        </w:rPr>
        <w:t>системе оплаты труда работников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</w:t>
      </w:r>
      <w:r>
        <w:rPr>
          <w:rFonts w:cs="Times New Roman" w:ascii="Times New Roman" w:hAnsi="Times New Roman"/>
          <w:bCs/>
          <w:sz w:val="28"/>
          <w:szCs w:val="28"/>
        </w:rPr>
        <w:t>»:</w:t>
      </w:r>
    </w:p>
    <w:p>
      <w:pPr>
        <w:pStyle w:val="Style23"/>
        <w:ind w:firstLine="708" w:right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1.1.1. </w:t>
      </w:r>
      <w:r>
        <w:rPr>
          <w:rFonts w:cs="Times New Roman" w:ascii="Times New Roman" w:hAnsi="Times New Roman"/>
          <w:sz w:val="28"/>
          <w:szCs w:val="28"/>
        </w:rPr>
        <w:t>пункт 2.3. «Минимальные размеры окладов, ставок заработной платы работников» раздела 2 «Оклады (должностные оклады) ставки заработной платы» изложить в новой редакции:</w:t>
      </w:r>
    </w:p>
    <w:p>
      <w:pPr>
        <w:pStyle w:val="Style24"/>
        <w:widowControl w:val="false"/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left="0" w:right="0"/>
        <w:contextualSpacing/>
        <w:jc w:val="both"/>
        <w:rPr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        «ПКГ «Общеотраслевые профессии рабочих первого уровня»</w:t>
      </w:r>
    </w:p>
    <w:tbl>
      <w:tblPr>
        <w:tblW w:w="9348" w:type="dxa"/>
        <w:jc w:val="left"/>
        <w:tblInd w:w="108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73"/>
        <w:gridCol w:w="1843"/>
        <w:gridCol w:w="2832"/>
      </w:tblGrid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1квалификационный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Дворник</w:t>
            </w:r>
          </w:p>
          <w:p>
            <w:pPr>
              <w:pStyle w:val="Normal"/>
              <w:rPr/>
            </w:pPr>
            <w:r>
              <w:rPr>
                <w:szCs w:val="28"/>
              </w:rPr>
              <w:t>Уборщик служебных помещений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Электрик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Плотник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Сторож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Истопник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3481</w:t>
            </w:r>
          </w:p>
        </w:tc>
      </w:tr>
    </w:tbl>
    <w:p>
      <w:pPr>
        <w:pStyle w:val="Normal"/>
        <w:numPr>
          <w:ilvl w:val="0"/>
          <w:numId w:val="0"/>
        </w:numPr>
        <w:ind w:firstLine="540" w:right="0"/>
        <w:jc w:val="center"/>
        <w:outlineLvl w:val="0"/>
        <w:rPr/>
      </w:pPr>
      <w:r>
        <w:rPr/>
        <w:t xml:space="preserve">ПКГ </w:t>
      </w:r>
      <w:bookmarkStart w:id="2" w:name="__DdeLink__617_1140713826"/>
      <w:r>
        <w:rPr/>
        <w:t>«</w:t>
      </w:r>
      <w:bookmarkEnd w:id="2"/>
      <w:r>
        <w:rPr/>
        <w:t>Общеотраслевые профессии рабочих второго уровня»</w:t>
      </w:r>
    </w:p>
    <w:tbl>
      <w:tblPr>
        <w:tblW w:w="9311" w:type="dxa"/>
        <w:jc w:val="left"/>
        <w:tblInd w:w="14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87"/>
        <w:gridCol w:w="1891"/>
        <w:gridCol w:w="2833"/>
      </w:tblGrid>
      <w:tr>
        <w:trPr/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1 квалификационный уровень повышающим коэффициентом для во</w:t>
            </w:r>
            <w:r>
              <w:rPr/>
              <w:t xml:space="preserve">дителя являются </w:t>
            </w:r>
          </w:p>
          <w:tbl>
            <w:tblPr>
              <w:tblW w:w="4366" w:type="dxa"/>
              <w:jc w:val="left"/>
              <w:tblInd w:w="0" w:type="dxa"/>
              <w:tblLayout w:type="fixed"/>
              <w:tblCellMar>
                <w:top w:w="0" w:type="dxa"/>
                <w:left w:w="93" w:type="dxa"/>
                <w:bottom w:w="0" w:type="dxa"/>
                <w:right w:w="108" w:type="dxa"/>
              </w:tblCellMar>
            </w:tblPr>
            <w:tblGrid>
              <w:gridCol w:w="2468"/>
              <w:gridCol w:w="1898"/>
            </w:tblGrid>
            <w:tr>
              <w:trPr>
                <w:trHeight w:val="970" w:hRule="atLeast"/>
              </w:trPr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Первая квалификационная категория</w:t>
                  </w:r>
                </w:p>
              </w:tc>
              <w:tc>
                <w:tcPr>
                  <w:tcW w:w="1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0,25 должностного оклада</w:t>
                  </w:r>
                </w:p>
              </w:tc>
            </w:tr>
            <w:tr>
              <w:trPr/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>
                      <w:szCs w:val="28"/>
                    </w:rPr>
                    <w:t>Вторая квалификационная категория</w:t>
                  </w:r>
                </w:p>
              </w:tc>
              <w:tc>
                <w:tcPr>
                  <w:tcW w:w="1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0,10 должностного оклада</w:t>
                  </w:r>
                </w:p>
              </w:tc>
            </w:tr>
          </w:tbl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Водитель автомобиля,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тракторист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4053</w:t>
            </w:r>
          </w:p>
        </w:tc>
      </w:tr>
    </w:tbl>
    <w:p>
      <w:pPr>
        <w:pStyle w:val="Normal"/>
        <w:ind w:firstLine="720" w:right="0"/>
        <w:jc w:val="center"/>
        <w:rPr/>
      </w:pPr>
      <w:r>
        <w:rPr/>
        <w:t>ПКГ «Общеотраслевые должности служащих второго уровня»</w:t>
      </w:r>
    </w:p>
    <w:tbl>
      <w:tblPr>
        <w:tblW w:w="9311" w:type="dxa"/>
        <w:jc w:val="left"/>
        <w:tblInd w:w="14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10"/>
        <w:gridCol w:w="1869"/>
        <w:gridCol w:w="2832"/>
      </w:tblGrid>
      <w:tr>
        <w:trPr/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2 квалификационный уровень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хозяйством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4943</w:t>
            </w:r>
          </w:p>
        </w:tc>
      </w:tr>
    </w:tbl>
    <w:p>
      <w:pPr>
        <w:pStyle w:val="Style23"/>
        <w:jc w:val="center"/>
        <w:rPr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ПКГ «Должностей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</w:r>
    </w:p>
    <w:tbl>
      <w:tblPr>
        <w:tblW w:w="9293" w:type="dxa"/>
        <w:jc w:val="left"/>
        <w:tblInd w:w="16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18"/>
        <w:gridCol w:w="1843"/>
        <w:gridCol w:w="2832"/>
      </w:tblGrid>
      <w:tr>
        <w:trPr/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Архивист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4498</w:t>
            </w:r>
          </w:p>
        </w:tc>
      </w:tr>
    </w:tbl>
    <w:p>
      <w:pPr>
        <w:pStyle w:val="Style24"/>
        <w:widowControl w:val="false"/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          »;</w:t>
      </w:r>
    </w:p>
    <w:p>
      <w:pPr>
        <w:pStyle w:val="Style23"/>
        <w:jc w:val="both"/>
        <w:rPr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1.1.2. В таблице № 2 пункта 4.4. раздела 4. «Выплаты стимулирующего характера» исключить строку 8.</w:t>
      </w:r>
    </w:p>
    <w:p>
      <w:pPr>
        <w:pStyle w:val="Normal"/>
        <w:autoSpaceDE w:val="false"/>
        <w:ind w:firstLine="709" w:right="0"/>
        <w:jc w:val="both"/>
        <w:rPr>
          <w:szCs w:val="28"/>
        </w:rPr>
      </w:pPr>
      <w:r>
        <w:rPr>
          <w:szCs w:val="28"/>
        </w:rPr>
        <w:t>1.1.3. в абзаце четвертом подпункта 4.5.2. пункта 4.5 слова «30788 рублей» заменить словами «35904 рубля»;</w:t>
      </w:r>
    </w:p>
    <w:p>
      <w:pPr>
        <w:pStyle w:val="Normal"/>
        <w:ind w:firstLine="708" w:right="0"/>
        <w:jc w:val="both"/>
        <w:rPr>
          <w:rStyle w:val="Emphasis"/>
          <w:i w:val="false"/>
          <w:i w:val="false"/>
          <w:iCs w:val="false"/>
        </w:rPr>
      </w:pPr>
      <w:r>
        <w:rPr>
          <w:szCs w:val="28"/>
        </w:rPr>
        <w:t>1.1.4. В раздел 4. «Выплаты стимулирующего характера» подпункт 4.5.2. пункта 4.5. абзац 10 изложить в новой редакции:</w:t>
      </w:r>
    </w:p>
    <w:p>
      <w:pPr>
        <w:pStyle w:val="Normal"/>
        <w:ind w:firstLine="708" w:right="0"/>
        <w:jc w:val="both"/>
        <w:rPr/>
      </w:pPr>
      <w:r>
        <w:rPr>
          <w:rStyle w:val="Emphasis"/>
          <w:i w:val="false"/>
          <w:iCs w:val="false"/>
        </w:rPr>
        <w:t>«Специальная краевая выплата устанавливается в целях повышения уровня оплаты труда работника.</w:t>
      </w:r>
    </w:p>
    <w:p>
      <w:pPr>
        <w:pStyle w:val="Normal"/>
        <w:ind w:firstLine="708" w:right="0"/>
        <w:jc w:val="both"/>
        <w:rPr/>
      </w:pPr>
      <w:r>
        <w:rPr>
          <w:rStyle w:val="Emphasis"/>
          <w:i w:val="false"/>
          <w:iCs w:val="false"/>
        </w:rPr>
        <w:t>Работникам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ind w:firstLine="708" w:right="0"/>
        <w:jc w:val="both"/>
        <w:rPr/>
      </w:pPr>
      <w:r>
        <w:rPr>
          <w:rStyle w:val="Emphasis"/>
          <w:i w:val="false"/>
          <w:iCs w:val="false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ind w:firstLine="708" w:right="0"/>
        <w:jc w:val="both"/>
        <w:rPr/>
      </w:pPr>
      <w:r>
        <w:rPr>
          <w:rStyle w:val="Emphasis"/>
          <w:i w:val="false"/>
          <w:iCs w:val="false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ind w:firstLine="708" w:right="0"/>
        <w:jc w:val="both"/>
        <w:rPr/>
      </w:pPr>
      <w:r>
        <w:rPr>
          <w:rStyle w:val="Emphasis"/>
          <w:i w:val="false"/>
          <w:iCs w:val="false"/>
        </w:rPr>
        <w:t>Размер специальной краевой выплаты в месяце, в котором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>Размер увеличения рассчитывается по формуле:</w:t>
      </w:r>
    </w:p>
    <w:p>
      <w:pPr>
        <w:pStyle w:val="Normal"/>
        <w:rPr/>
      </w:pPr>
      <w:r>
        <w:rPr/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СКВ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= О</w:t>
      </w:r>
      <w:r>
        <w:rPr>
          <w:rFonts w:cs="Times New Roman" w:ascii="Times New Roman" w:hAnsi="Times New Roman"/>
          <w:sz w:val="28"/>
          <w:szCs w:val="28"/>
          <w:vertAlign w:val="subscript"/>
        </w:rPr>
        <w:t>ТП</w:t>
      </w:r>
      <w:r>
        <w:rPr>
          <w:rFonts w:cs="Times New Roman" w:ascii="Times New Roman" w:hAnsi="Times New Roman"/>
          <w:sz w:val="28"/>
          <w:szCs w:val="28"/>
        </w:rPr>
        <w:t xml:space="preserve"> x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- О</w:t>
      </w:r>
      <w:r>
        <w:rPr>
          <w:rFonts w:cs="Times New Roman" w:ascii="Times New Roman" w:hAnsi="Times New Roman"/>
          <w:sz w:val="28"/>
          <w:szCs w:val="28"/>
          <w:vertAlign w:val="subscript"/>
        </w:rPr>
        <w:t>ТП</w:t>
      </w:r>
      <w:r>
        <w:rPr>
          <w:rFonts w:cs="Times New Roman" w:ascii="Times New Roman" w:hAnsi="Times New Roman"/>
          <w:sz w:val="28"/>
          <w:szCs w:val="28"/>
        </w:rPr>
        <w:t>, (1)</w:t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СКВ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  <w:vertAlign w:val="subscript"/>
        </w:rPr>
        <w:t>ТП</w:t>
      </w:r>
      <w:r>
        <w:rPr>
          <w:rFonts w:cs="Times New Roman" w:ascii="Times New Roman" w:hAnsi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- коэффициент увеличения специальной краевой выплаты.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принимается равным 1.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рассчитывается по формуле: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= (З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ПФ1</w:t>
      </w:r>
      <w:r>
        <w:rPr>
          <w:rFonts w:cs="Times New Roman" w:ascii="Times New Roman" w:hAnsi="Times New Roman"/>
          <w:sz w:val="28"/>
          <w:szCs w:val="28"/>
        </w:rPr>
        <w:t xml:space="preserve"> + (3200 x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МЕС</w:t>
      </w:r>
      <w:r>
        <w:rPr>
          <w:rFonts w:cs="Times New Roman" w:ascii="Times New Roman" w:hAnsi="Times New Roman"/>
          <w:sz w:val="28"/>
          <w:szCs w:val="28"/>
        </w:rPr>
        <w:t xml:space="preserve"> x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РК</w:t>
      </w:r>
      <w:r>
        <w:rPr>
          <w:rFonts w:cs="Times New Roman" w:ascii="Times New Roman" w:hAnsi="Times New Roman"/>
          <w:sz w:val="28"/>
          <w:szCs w:val="28"/>
        </w:rPr>
        <w:t>) + 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ПФ2</w:t>
      </w:r>
      <w:r>
        <w:rPr>
          <w:rFonts w:cs="Times New Roman" w:ascii="Times New Roman" w:hAnsi="Times New Roman"/>
          <w:sz w:val="28"/>
          <w:szCs w:val="28"/>
        </w:rPr>
        <w:t>) / (З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ПФ1</w:t>
      </w:r>
      <w:r>
        <w:rPr>
          <w:rFonts w:cs="Times New Roman" w:ascii="Times New Roman" w:hAnsi="Times New Roman"/>
          <w:sz w:val="28"/>
          <w:szCs w:val="28"/>
        </w:rPr>
        <w:t xml:space="preserve"> + 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ПФ2</w:t>
      </w:r>
      <w:r>
        <w:rPr>
          <w:rFonts w:cs="Times New Roman" w:ascii="Times New Roman" w:hAnsi="Times New Roman"/>
          <w:sz w:val="28"/>
          <w:szCs w:val="28"/>
        </w:rPr>
        <w:t>), (2)</w:t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ПФ1</w:t>
      </w:r>
      <w:r>
        <w:rPr>
          <w:rFonts w:cs="Times New Roman" w:ascii="Times New Roman" w:hAnsi="Times New Roman"/>
          <w:sz w:val="28"/>
          <w:szCs w:val="28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ПФ2</w:t>
      </w:r>
      <w:r>
        <w:rPr>
          <w:rFonts w:cs="Times New Roman" w:ascii="Times New Roman" w:hAnsi="Times New Roman"/>
          <w:sz w:val="28"/>
          <w:szCs w:val="28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ConsPlusNormal"/>
        <w:spacing w:before="220" w:after="0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МЕС</w:t>
      </w:r>
      <w:r>
        <w:rPr>
          <w:rFonts w:cs="Times New Roman" w:ascii="Times New Roman" w:hAnsi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РК</w:t>
      </w:r>
      <w:r>
        <w:rPr>
          <w:rFonts w:cs="Times New Roman" w:ascii="Times New Roman" w:hAnsi="Times New Roman"/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расчете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подлежит округлению до четырех знаков после запятой.»</w:t>
      </w:r>
    </w:p>
    <w:p>
      <w:pPr>
        <w:pStyle w:val="Style23"/>
        <w:ind w:firstLine="708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Саюшева Д.В.</w:t>
      </w:r>
    </w:p>
    <w:p>
      <w:pPr>
        <w:pStyle w:val="Style23"/>
        <w:ind w:firstLine="708" w:right="0"/>
        <w:jc w:val="both"/>
        <w:rPr>
          <w:bCs/>
          <w:color w:val="000000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bCs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</w:t>
      </w:r>
      <w:r>
        <w:rPr>
          <w:rFonts w:cs="Times New Roman" w:ascii="Times New Roman" w:hAnsi="Times New Roman"/>
          <w:sz w:val="28"/>
          <w:szCs w:val="28"/>
        </w:rPr>
        <w:t xml:space="preserve"> не ранее 01 января 2025 года,</w:t>
      </w:r>
      <w:r>
        <w:rPr>
          <w:rFonts w:cs="Times New Roman" w:ascii="Times New Roman" w:hAnsi="Times New Roman"/>
          <w:bCs/>
          <w:sz w:val="28"/>
          <w:szCs w:val="28"/>
        </w:rPr>
        <w:t xml:space="preserve">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</w:rPr>
          <w:t>://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sharypovo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gosuslugi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bCs/>
          <w:sz w:val="28"/>
          <w:szCs w:val="28"/>
        </w:rPr>
        <w:t>, за исключением подпунктов 1.1.1. и 1.1.2, пункта 1.1. постановления, распространяющих свое действие на правоотношения, возникшие с 01.08.2024 г.</w:t>
      </w:r>
    </w:p>
    <w:p>
      <w:pPr>
        <w:pStyle w:val="Normal"/>
        <w:autoSpaceDE w:val="false"/>
        <w:ind w:firstLine="709" w:right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0"/>
        <w:gridCol w:w="3191"/>
      </w:tblGrid>
      <w:tr>
        <w:trPr/>
        <w:tc>
          <w:tcPr>
            <w:tcW w:w="3189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hanging="0" w:right="0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1">
    <w:name w:val="Основной шрифт абзаца1"/>
    <w:qFormat/>
    <w:rPr/>
  </w:style>
  <w:style w:type="character" w:styleId="Style14">
    <w:name w:val="Верхний колонтитул Знак"/>
    <w:qFormat/>
    <w:rPr>
      <w:sz w:val="28"/>
      <w:szCs w:val="24"/>
    </w:rPr>
  </w:style>
  <w:style w:type="character" w:styleId="Style15">
    <w:name w:val="Нижний колонтитул Знак"/>
    <w:qFormat/>
    <w:rPr>
      <w:sz w:val="28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yle17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Emphasis">
    <w:name w:val="Emphasis"/>
    <w:qFormat/>
    <w:rPr>
      <w:i/>
      <w:iCs/>
    </w:rPr>
  </w:style>
  <w:style w:type="character" w:styleId="11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Заголовок1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4">
    <w:name w:val="Абзац списка"/>
    <w:basedOn w:val="Normal"/>
    <w:qFormat/>
    <w:pPr>
      <w:suppressAutoHyphens w:val="true"/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  <w:lang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</TotalTime>
  <Application>LibreOffice/7.6.4.1$Windows_X86_64 LibreOffice_project/e19e193f88cd6c0525a17fb7a176ed8e6a3e2aa1</Application>
  <AppVersion>15.0000</AppVersion>
  <Pages>5</Pages>
  <Words>976</Words>
  <Characters>6450</Characters>
  <CharactersWithSpaces>7420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2024-12-11T09:03:00Z</dcterms:created>
  <dc:creator>Admin</dc:creator>
  <dc:description/>
  <cp:keywords/>
  <dc:language>ru-RU</dc:language>
  <cp:lastModifiedBy/>
  <cp:lastPrinted>2023-12-01T13:19:00Z</cp:lastPrinted>
  <dcterms:modified xsi:type="dcterms:W3CDTF">2024-12-18T10:06:31Z</dcterms:modified>
  <cp:revision>5</cp:revision>
  <dc:subject/>
  <dc:title>АДМИНИСТРАЦИЯ ГОРОДА ШАРЫПОВО</dc:title>
</cp:coreProperties>
</file>