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10.12.2024                                                                                                             № 308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Об утверждении стоимости путевки для детей в загородные оздоровительные лагеря городского округа города Шарыпово на 2025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 (в редакции от 23.11.2023), на основании постановления Правительства Красноярского края от 22.10.2024 № 785-п «Об утверждении средней стоимости путевки в краевые государственные и муниципальные загородные оздоровительные лагеря на 2025 год»,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Утвердить стоимость одной путевки для детей в муниципальное автономное образовательное учреждение дополнительного образования «Детский оздоровительно-образовательный лагерь «Парус» и в муниципальное автономное образовательное учреждение дополнительного образования «Детский оздоровительно-образовательный лагерь «Бригантина» на 2025 год за одну смену (21 календарный день) в размере 35 681 рубль.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Установить размер оплаты за счет средств юридических и физических лиц, приобретающих путевки для детей и подростков, проживающих на территории Красноярского края за полную стоимость в размере 35 681 рубль;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10 704,30 рубля.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Установить размер оплаты за счет средств юридических и физических лиц, индивидуальных предпринимателей, приобретающих путевки для детей и подростков, проживающих за пределами Красноярского края за полную стоимость в размере 44 601 рубль.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5.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https://sharypovo.gosuslugi.ru/)</w:t>
      </w:r>
      <w:r>
        <w:rPr>
          <w:rFonts w:eastAsia="Times New Roman" w:ascii="Times New Roman" w:hAnsi="Times New Roman"/>
          <w:sz w:val="27"/>
          <w:szCs w:val="27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        В.Г. Хохлов                                                           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  <w:bookmarkStart w:id="3" w:name="_GoBack"/>
      <w:bookmarkStart w:id="4" w:name="_GoBack"/>
      <w:bookmarkEnd w:id="4"/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7c0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76e76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76e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1</Pages>
  <Words>288</Words>
  <Characters>1995</Characters>
  <CharactersWithSpaces>2520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2024-11-07T08:54:00Z</dcterms:created>
  <dc:creator>Пользователь Windows</dc:creator>
  <dc:description/>
  <dc:language>ru-RU</dc:language>
  <cp:lastModifiedBy/>
  <cp:lastPrinted>2024-11-28T03:21:00Z</cp:lastPrinted>
  <dcterms:modified xsi:type="dcterms:W3CDTF">2024-12-12T08:09:33Z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