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bookmarkStart w:id="0" w:name="_Hlk115171399"/>
      <w:r>
        <w:rPr/>
        <w:drawing>
          <wp:inline distT="0" distB="0" distL="0" distR="0">
            <wp:extent cx="516890" cy="739775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bookmarkStart w:id="1" w:name="_Hlk115171399"/>
      <w:bookmarkStart w:id="2" w:name="_Hlk115176197"/>
      <w:r>
        <w:rPr>
          <w:b/>
          <w:sz w:val="24"/>
          <w:szCs w:val="24"/>
        </w:rPr>
        <w:t>АДМИНИСТРАЦИЯ ГОРОДА ШАРЫПОВО КРАСНОЯРСКОГО КРАЯ</w:t>
      </w:r>
      <w:bookmarkEnd w:id="1"/>
      <w:bookmarkEnd w:id="2"/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№ </w:t>
            </w:r>
            <w:r>
              <w:rPr>
                <w:sz w:val="24"/>
                <w:szCs w:val="24"/>
              </w:rPr>
              <w:t>285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27.08.2012 № 151 «Об утверждении положения о Комитете по управлению муниципальным имуществом и земельными отношениями Администрации города Шарыпово»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В связи с ликвидацией Муниципального унитарного предприятия «Департамент недвижимости» г. Шарыпово</w:t>
      </w:r>
      <w:r>
        <w:rPr>
          <w:rFonts w:eastAsia="Calibri"/>
          <w:color w:val="000000"/>
          <w:sz w:val="24"/>
          <w:szCs w:val="24"/>
          <w:lang w:bidi="ru-RU"/>
        </w:rPr>
        <w:t xml:space="preserve">, в соответствии со ст. 18 Закона Российской Федерации от 04.07.1991 № 1541-1, </w:t>
      </w:r>
      <w:r>
        <w:rPr>
          <w:sz w:val="24"/>
          <w:szCs w:val="24"/>
          <w:lang w:eastAsia="ru-RU" w:bidi="ru-RU"/>
        </w:rPr>
        <w:t>руководствуясь ст. 34 Устава города Шарыпово: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27.08.2012 № 151 «Об утверждении положения о Комитете по управлению муниципальным имуществом и земельными отношениями Администрации города Шарыпово»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1.1. Дополнить пункт 2.2 раздела 2 подпунктом 2.2.9 следующего содержания: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«2.2.9. Функции по приватизации жилых помещений, в том числе: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1)  в порядке, установленном действующим законодательством Российской Федерации, заключает договоры передачи права собственности на объекты муниципального жилищного фонда в собственность граждан;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2) выдает справки о реализации гражданином права приватизации жилого помещения;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3) ведет реестр заключенных договоров приватизации жилых помещений;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4) расторгает договоры приватизации жилых помещений;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5) принимает передаваемые гражданами приватизированные жилые помещения в муниципальную собственность;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6) выдает копии и дубликаты документов, относящиеся к реализации гражданами права на приватизацию жилых помещений.»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1.2. Дополнить пункт 2.4 раздела 2 подпунктом 8 следующего содержания:</w:t>
      </w:r>
    </w:p>
    <w:p>
      <w:pPr>
        <w:pStyle w:val="Heading1"/>
        <w:ind w:firstLine="709" w:left="0"/>
        <w:jc w:val="both"/>
        <w:rPr>
          <w:b w:val="false"/>
          <w:spacing w:val="1"/>
          <w:sz w:val="24"/>
          <w:szCs w:val="24"/>
          <w:lang w:eastAsia="ru-RU"/>
        </w:rPr>
      </w:pPr>
      <w:r>
        <w:rPr>
          <w:b w:val="false"/>
          <w:spacing w:val="1"/>
          <w:sz w:val="24"/>
          <w:szCs w:val="24"/>
          <w:lang w:eastAsia="ru-RU"/>
        </w:rPr>
        <w:t>«8) вести учет заключенных договоров приватизации жилых помещений.»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О.Г. Андриянову –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</w:t>
            </w:r>
            <w:r>
              <w:rPr>
                <w:bCs/>
                <w:sz w:val="24"/>
                <w:szCs w:val="24"/>
              </w:rPr>
              <w:t>В.Г. Хохлов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4"/>
      <w:type w:val="nextPage"/>
      <w:pgSz w:w="11906" w:h="16838"/>
      <w:pgMar w:left="1140" w:right="420" w:gutter="0" w:header="429" w:top="960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4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5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4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C43F-038A-453E-8911-0A297D9C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LibreOffice/7.6.4.1$Windows_X86_64 LibreOffice_project/e19e193f88cd6c0525a17fb7a176ed8e6a3e2aa1</Application>
  <AppVersion>15.0000</AppVersion>
  <Pages>1</Pages>
  <Words>255</Words>
  <Characters>1861</Characters>
  <CharactersWithSpaces>2165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2024-10-31T07:12:00Z</dcterms:created>
  <dc:creator>Анастасия Гаврилова</dc:creator>
  <dc:description/>
  <dc:language>ru-RU</dc:language>
  <cp:lastModifiedBy>Пользователь Windows</cp:lastModifiedBy>
  <cp:lastPrinted>2024-10-31T08:58:00Z</cp:lastPrinted>
  <dcterms:modified xsi:type="dcterms:W3CDTF">2024-12-05T05:00:00Z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