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25.11.2024</w:t>
        <w:tab/>
        <w:tab/>
        <w:tab/>
        <w:tab/>
        <w:tab/>
        <w:tab/>
        <w:tab/>
        <w:tab/>
        <w:tab/>
        <w:tab/>
        <w:tab/>
        <w:t>№ 257</w:t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ind w:hanging="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ConsPlusNormal"/>
        <w:widowControl/>
        <w:ind w:hanging="0" w:right="411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</w:t>
      </w:r>
    </w:p>
    <w:p>
      <w:pPr>
        <w:pStyle w:val="Style18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</w:t>
      </w:r>
      <w:hyperlink r:id="rId3">
        <w:r>
          <w:rPr>
            <w:rStyle w:val="Style15"/>
            <w:rFonts w:cs="Arial" w:ascii="Arial" w:hAnsi="Arial"/>
            <w:color w:val="auto"/>
            <w:sz w:val="24"/>
            <w:szCs w:val="24"/>
          </w:rPr>
          <w:t>пунктами 3</w:t>
        </w:r>
      </w:hyperlink>
      <w:r>
        <w:rPr>
          <w:rFonts w:cs="Arial" w:ascii="Arial" w:hAnsi="Arial"/>
          <w:sz w:val="24"/>
          <w:szCs w:val="24"/>
        </w:rPr>
        <w:t xml:space="preserve"> и </w:t>
      </w:r>
      <w:hyperlink r:id="rId4">
        <w:r>
          <w:rPr>
            <w:rStyle w:val="Style15"/>
            <w:rFonts w:cs="Arial" w:ascii="Arial" w:hAnsi="Arial"/>
            <w:color w:val="auto"/>
            <w:sz w:val="24"/>
            <w:szCs w:val="24"/>
          </w:rPr>
          <w:t>4 статьи 69.2</w:t>
        </w:r>
      </w:hyperlink>
      <w:r>
        <w:rPr>
          <w:rFonts w:cs="Arial" w:ascii="Arial" w:hAnsi="Arial"/>
          <w:sz w:val="24"/>
          <w:szCs w:val="24"/>
        </w:rPr>
        <w:t xml:space="preserve"> Бюджетного кодекса Российской Федерации, </w:t>
      </w:r>
      <w:r>
        <w:rPr>
          <w:rFonts w:cs="Arial" w:ascii="Arial" w:hAnsi="Arial"/>
          <w:sz w:val="24"/>
          <w:szCs w:val="24"/>
          <w:shd w:fill="FFFFFF" w:val="clear"/>
        </w:rPr>
        <w:t xml:space="preserve">Постановлением Администрации города Шарыпово от 05.11.2020 № 242 «Об утверждении Правил персонифицированного финансирования дополнительного образования детей в муниципальном образовании городе Шарыпово Красноярского края», Постановлением  Администрации города Шарыпово от 26.05.2023 №137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города Шарыпово», </w:t>
      </w:r>
      <w:r>
        <w:rPr>
          <w:rFonts w:cs="Arial" w:ascii="Arial" w:hAnsi="Arial"/>
          <w:sz w:val="24"/>
          <w:szCs w:val="24"/>
        </w:rPr>
        <w:t>руководствуясь ст. 34 Устава города Шарыпово Красноярского края,</w:t>
      </w:r>
    </w:p>
    <w:p>
      <w:pPr>
        <w:pStyle w:val="ConsPlusNormal"/>
        <w:widowControl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ConsPlusNormal"/>
        <w:widowControl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города Шарыпово 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 №201, от18.12.2017г. № 276, от 11.11.2020 № 247) следующие изменения: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приложении к постановлению «Порядок и условия формирования муниципального задания в отношении муниципальных учреждений и финансового обеспечения выполнения муниципального задания»: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1.1.1. абзац восьмой пункта 3 изложить в следующей редакции: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«При оказании муниципальными учреждениями муниципальных услуг в рамках системы персонифицированного финансирования дополнительного образования детей в городе Шарыпово (далее - система персонифицированного финансирования), в рамках исполнения муниципального социального заказа на оказание муниципальных услуг в социальной сфере объемные показатели муниципального задания должны быть уточнены на основании данных о фактическом (прогнозном) объеме реализации муниципальных услуг, оказанных в рамках системы персонифицированного финансирования, в рамках исполнения муниципального социального заказа на оказание муниципальных услуг в социальной сфере по состоянию на 1-е число каждого квартала и на 1 декабря текущего года при наличии отклонений от объемов утвержденного муниципального задания. Допустимое (возможное) отклонение от установленных значений показателей объема устанавливается равным нулю.»;</w:t>
      </w:r>
    </w:p>
    <w:p>
      <w:pPr>
        <w:pStyle w:val="ListParagraph"/>
        <w:numPr>
          <w:ilvl w:val="2"/>
          <w:numId w:val="2"/>
        </w:numPr>
        <w:ind w:firstLine="720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пункте 5:</w:t>
      </w:r>
    </w:p>
    <w:p>
      <w:pPr>
        <w:pStyle w:val="ListParagraph"/>
        <w:ind w:firstLine="720" w:lef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1.1.2.1. после абзаца второго </w:t>
      </w:r>
      <w:hyperlink r:id="rId5">
        <w:r>
          <w:rPr>
            <w:rFonts w:cs="Arial" w:ascii="Arial" w:hAnsi="Arial"/>
            <w:sz w:val="24"/>
            <w:szCs w:val="24"/>
          </w:rPr>
          <w:t>дополнить</w:t>
        </w:r>
      </w:hyperlink>
      <w:r>
        <w:rPr>
          <w:rFonts w:cs="Arial" w:ascii="Arial" w:hAnsi="Arial"/>
          <w:sz w:val="24"/>
          <w:szCs w:val="24"/>
        </w:rPr>
        <w:t xml:space="preserve"> абзацем следующего содержания: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«При оказании муниципальными учреждениями муниципальных услуг в рамках системы персонифицированного финансирования, в рамках исполнения муниципального социального заказа на оказание муниципальных услуг в социальной сфере объем субсидии на финансовое обеспечение выполнения муниципального задания может быть уменьшен (увеличен) в пределах доведенных главному распорядителю средств бюджета городского округа города Шарыпово лимитов бюджетных обязательств на предоставление субсидии на финансовое обеспечение выполнения муниципального задания в случае, если фактические показатели объема муниципальных услуг, оказанных в рамках системы персонифицированного финансирования, в рамках исполнения муниципального социального заказа на оказание муниципальных услуг в социальной сфере, уменьшились (увеличились) по сравнению с показателями объема, запланированными в муниципальном задании.»;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1.1.2.2. абзац третий считать абзацем четвертым соответственно. 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1.1.3. пункты 30 – 34 изложить в следующей редакции:</w:t>
      </w:r>
    </w:p>
    <w:p>
      <w:pPr>
        <w:pStyle w:val="Normal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«30. </w:t>
      </w:r>
      <w:r>
        <w:rPr>
          <w:rFonts w:cs="Arial" w:ascii="Arial" w:hAnsi="Arial"/>
          <w:bCs/>
          <w:sz w:val="24"/>
          <w:szCs w:val="24"/>
        </w:rPr>
        <w:t>Муниципальное задание является невыполненным в случае не 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>
      <w:pPr>
        <w:pStyle w:val="ConsPlus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Если на основании годового отчета о выполнении муниципального задания, предусмотренного </w:t>
      </w:r>
      <w:hyperlink w:anchor="P252">
        <w:r>
          <w:rPr>
            <w:bCs/>
            <w:sz w:val="24"/>
            <w:szCs w:val="24"/>
          </w:rPr>
          <w:t>пунктом 31</w:t>
        </w:r>
      </w:hyperlink>
      <w:r>
        <w:rPr>
          <w:bCs/>
          <w:sz w:val="24"/>
          <w:szCs w:val="24"/>
        </w:rPr>
        <w:t xml:space="preserve"> настоящего Порядка,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до 1 марта текущего финансового года подлежат возврату в бюджет города в соответствии с бюджетным законодательством Российской Федерации в объеме, соответствующем показателям, характеризующим объем не оказанной муниципальной услуги (невыполненной работы), и учитываются в порядке, установленном для учета сумм возврата дебиторской задолженности в соответствии с </w:t>
      </w:r>
      <w:hyperlink r:id="rId6">
        <w:r>
          <w:rPr>
            <w:bCs/>
            <w:sz w:val="24"/>
            <w:szCs w:val="24"/>
          </w:rPr>
          <w:t>Приказом</w:t>
        </w:r>
      </w:hyperlink>
      <w:r>
        <w:rPr>
          <w:bCs/>
          <w:sz w:val="24"/>
          <w:szCs w:val="24"/>
        </w:rPr>
        <w:t xml:space="preserve"> Федерального казначейства от 14.05.2020 № 21н «О Порядке казначейского обслуживания».</w:t>
      </w:r>
    </w:p>
    <w:p>
      <w:pPr>
        <w:pStyle w:val="Normal"/>
        <w:ind w:firstLine="720"/>
        <w:jc w:val="both"/>
        <w:rPr>
          <w:rFonts w:ascii="Arial" w:hAnsi="Arial" w:cs="Arial"/>
          <w:bCs/>
          <w:sz w:val="24"/>
          <w:szCs w:val="24"/>
        </w:rPr>
      </w:pPr>
      <w:hyperlink w:anchor="P1542">
        <w:r>
          <w:rPr>
            <w:rFonts w:cs="Arial" w:ascii="Arial" w:hAnsi="Arial"/>
            <w:bCs/>
            <w:sz w:val="24"/>
            <w:szCs w:val="24"/>
          </w:rPr>
          <w:t>Расчет</w:t>
        </w:r>
      </w:hyperlink>
      <w:r>
        <w:rPr>
          <w:rFonts w:cs="Arial" w:ascii="Arial" w:hAnsi="Arial"/>
          <w:bCs/>
          <w:sz w:val="24"/>
          <w:szCs w:val="24"/>
        </w:rPr>
        <w:t xml:space="preserve"> объема субсидии, подлежащей возврату в бюджет города, осуществляется с применением нормативных затрат на оказание муниципальных услуг (выполнение работ), определяемых в соответствии с настоящим Порядком, по форме согласно приложению № 6 к настоящему Порядку.</w:t>
      </w:r>
    </w:p>
    <w:p>
      <w:pPr>
        <w:pStyle w:val="ConsPlus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Возврат осуществляется за счет остатков средств субсидии на муниципальное задание и (или) средств от приносящей доход деятельности. В случае отсутствия вышеуказанных источников возврат субсидии осуществляется в течение периода, необходимого для полного возмещения излишне израсходованных средств субсидии.</w:t>
      </w:r>
    </w:p>
    <w:p>
      <w:pPr>
        <w:pStyle w:val="Normal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31. Муниципальные учреждения ежеквартально в срок до 25-го числа месяца, следующего за отчетным кварталом, и ежегодно в срок до 25 января года, следующего за отчетным годом, представляют главным распорядителям средств бюджета города Шарыпово, в ведении которых находятся муниципальные казенные учреждения, структурным подразделениям Администрации города Шарыпово, осуществляющим функции и полномочия учредителей бюджетных или автономных учреждений, отчет о выполнении муниципального задания, формируемый согласно приложению № 4 к настоящему Порядку. Одновременно с годовым отчетом представляется пояснительная записка о результатах выполнения муниципального задания, а в случае отклонений фактических значений показателей от плановых (с учетом допустимых (возможных) отклонений) - пояснение причин отклонений и (или) причины невыполнения муниципального задания.</w:t>
      </w:r>
    </w:p>
    <w:p>
      <w:pPr>
        <w:pStyle w:val="Normal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32. Главные распорядители средств бюджета города Шарыпово, в ведении которых находятся муниципальные казенные учреждения, структурные подразделения Администрации города Шарыпово, осуществляющие функции и полномочия учредителей бюджетных или автономных учреждений, ежеквартально в течение 15 дней со дня получения отчета о выполнении муниципального задания, указанного в </w:t>
      </w:r>
      <w:hyperlink r:id="rId7">
        <w:r>
          <w:rPr>
            <w:rFonts w:cs="Arial" w:ascii="Arial" w:hAnsi="Arial"/>
            <w:bCs/>
            <w:sz w:val="24"/>
            <w:szCs w:val="24"/>
          </w:rPr>
          <w:t>пункте 31</w:t>
        </w:r>
      </w:hyperlink>
      <w:r>
        <w:rPr>
          <w:rFonts w:cs="Arial" w:ascii="Arial" w:hAnsi="Arial"/>
          <w:bCs/>
          <w:sz w:val="24"/>
          <w:szCs w:val="24"/>
        </w:rPr>
        <w:t xml:space="preserve"> настоящего Порядка, и ежегодно до 10 февраля года, следующего за отчетным годом, рассматривают представленные отчеты, осуществляют проверку сведений и расчетов, осуществляют учет результатов для достижения целей и задач муниципальных программ и возможной корректировки муниципальных заданий, в части годового отчета готовят сводный </w:t>
      </w:r>
      <w:hyperlink r:id="rId8">
        <w:r>
          <w:rPr>
            <w:rFonts w:cs="Arial" w:ascii="Arial" w:hAnsi="Arial"/>
            <w:bCs/>
            <w:sz w:val="24"/>
            <w:szCs w:val="24"/>
          </w:rPr>
          <w:t>отчет</w:t>
        </w:r>
      </w:hyperlink>
      <w:r>
        <w:rPr>
          <w:rFonts w:cs="Arial" w:ascii="Arial" w:hAnsi="Arial"/>
          <w:bCs/>
          <w:sz w:val="24"/>
          <w:szCs w:val="24"/>
        </w:rPr>
        <w:t xml:space="preserve"> о фактическом выполнении муниципальных заданий муниципальными учреждениями по форме согласно приложению №5 к настоящему Порядку и заключение по фактическому выполнению муниципального задания.</w:t>
      </w:r>
    </w:p>
    <w:p>
      <w:pPr>
        <w:pStyle w:val="Normal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33. </w:t>
      </w:r>
      <w:bookmarkStart w:id="0" w:name="Par0"/>
      <w:bookmarkEnd w:id="0"/>
      <w:r>
        <w:rPr>
          <w:rFonts w:cs="Arial" w:ascii="Arial" w:hAnsi="Arial"/>
          <w:bCs/>
          <w:sz w:val="24"/>
          <w:szCs w:val="24"/>
        </w:rPr>
        <w:t>В целях выявления фактов невыполнения муниципального задания по итогам 9 месяцев муниципальные учреждения одновременно с ежеквартальным отчетом представляют главным распорядителям средств бюджета города Шарыпово, в ведении которых находятся муниципальные казенные учреждения, структурным подразделениям Администрации города Шарыпово, осуществляющим функции и полномочия учредителей бюджетных или автономных учреждений,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 (приложение №4), и пояснительную записку о результатах ожидаемого выполнения муниципального задания.</w:t>
      </w:r>
    </w:p>
    <w:p>
      <w:pPr>
        <w:pStyle w:val="Normal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Главные распорядители средств бюджета города Шарыпово, в ведении которых находятся муниципальные казенные учреждения, структурные подразделения Администрации города Шарыпово, осуществляющие функции и полномочия учредителей бюджетных или автономных учреждений, в течение 15 дней со дня получения предварительных отчетов, указанных в </w:t>
      </w:r>
      <w:hyperlink w:anchor="Par0">
        <w:r>
          <w:rPr>
            <w:rFonts w:cs="Arial" w:ascii="Arial" w:hAnsi="Arial"/>
            <w:bCs/>
            <w:sz w:val="24"/>
            <w:szCs w:val="24"/>
          </w:rPr>
          <w:t>абзаце первом</w:t>
        </w:r>
      </w:hyperlink>
      <w:r>
        <w:rPr>
          <w:rFonts w:cs="Arial" w:ascii="Arial" w:hAnsi="Arial"/>
          <w:bCs/>
          <w:sz w:val="24"/>
          <w:szCs w:val="24"/>
        </w:rPr>
        <w:t xml:space="preserve"> настоящего пункта, рассматривают представленные отчеты, осуществляют проверку сведений и расчетов, готовят сводный отчет ожидаемого выполнения муниципальных заданий муниципальными учреждениями по форме, предусмотренной для представления сводного отчета о фактическом выполнении муниципальных заданий (приложение №5), а также осуществляют учет результатов для достижения целей и задач муниципальных программ и корректировки муниципального задания в случае его невыполнения.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Результаты предварительного отчета о выполнении муниципального задания учитываются при планировании расходов бюджета города на очередной финансовый год и плановый период на финансовое обеспечение деятельности муниципальных учреждений.</w:t>
      </w:r>
    </w:p>
    <w:p>
      <w:pPr>
        <w:pStyle w:val="Normal"/>
        <w:widowControl w:val="false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34. Сводные отчеты, указанные в </w:t>
      </w:r>
      <w:hyperlink r:id="rId9">
        <w:r>
          <w:rPr>
            <w:rFonts w:cs="Arial" w:ascii="Arial" w:hAnsi="Arial"/>
            <w:bCs/>
            <w:sz w:val="24"/>
            <w:szCs w:val="24"/>
          </w:rPr>
          <w:t>пунктах 32</w:t>
        </w:r>
      </w:hyperlink>
      <w:r>
        <w:rPr>
          <w:rFonts w:cs="Arial" w:ascii="Arial" w:hAnsi="Arial"/>
          <w:bCs/>
          <w:sz w:val="24"/>
          <w:szCs w:val="24"/>
        </w:rPr>
        <w:t xml:space="preserve">, </w:t>
      </w:r>
      <w:hyperlink r:id="rId10">
        <w:r>
          <w:rPr>
            <w:rFonts w:cs="Arial" w:ascii="Arial" w:hAnsi="Arial"/>
            <w:bCs/>
            <w:sz w:val="24"/>
            <w:szCs w:val="24"/>
          </w:rPr>
          <w:t>33</w:t>
        </w:r>
      </w:hyperlink>
      <w:r>
        <w:rPr>
          <w:rFonts w:cs="Arial" w:ascii="Arial" w:hAnsi="Arial"/>
          <w:bCs/>
          <w:sz w:val="24"/>
          <w:szCs w:val="24"/>
        </w:rPr>
        <w:t xml:space="preserve"> настоящего Порядка, и заключение по фактическому выполнению муниципального задания главные распорядители средств бюджета города Шарыпово, в ведении которых находятся муниципальные казенные учреждения, структурные подразделения Администрации города Шарыпово, осуществляющие функции и полномочия учредителей бюджетных или автономных учреждений, в сроки, указанные в </w:t>
      </w:r>
      <w:hyperlink r:id="rId11">
        <w:r>
          <w:rPr>
            <w:rFonts w:cs="Arial" w:ascii="Arial" w:hAnsi="Arial"/>
            <w:bCs/>
            <w:sz w:val="24"/>
            <w:szCs w:val="24"/>
          </w:rPr>
          <w:t>пунктах 32</w:t>
        </w:r>
      </w:hyperlink>
      <w:r>
        <w:rPr>
          <w:rFonts w:cs="Arial" w:ascii="Arial" w:hAnsi="Arial"/>
          <w:bCs/>
          <w:sz w:val="24"/>
          <w:szCs w:val="24"/>
        </w:rPr>
        <w:t xml:space="preserve">, </w:t>
      </w:r>
      <w:hyperlink r:id="rId12">
        <w:r>
          <w:rPr>
            <w:rFonts w:cs="Arial" w:ascii="Arial" w:hAnsi="Arial"/>
            <w:bCs/>
            <w:sz w:val="24"/>
            <w:szCs w:val="24"/>
          </w:rPr>
          <w:t>33</w:t>
        </w:r>
      </w:hyperlink>
      <w:r>
        <w:rPr>
          <w:rFonts w:cs="Arial" w:ascii="Arial" w:hAnsi="Arial"/>
          <w:bCs/>
          <w:sz w:val="24"/>
          <w:szCs w:val="24"/>
        </w:rPr>
        <w:t xml:space="preserve"> настоящего Порядка, представляют в отдел экономики и планирования Администрации города Шарыпово.»</w:t>
      </w:r>
    </w:p>
    <w:p>
      <w:pPr>
        <w:pStyle w:val="ConsPlusNormal"/>
        <w:widowControl/>
        <w:numPr>
          <w:ilvl w:val="2"/>
          <w:numId w:val="3"/>
        </w:numPr>
        <w:ind w:firstLine="720"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дополнить пунктами 35 - 36 следующего содержания:</w:t>
      </w:r>
    </w:p>
    <w:p>
      <w:pPr>
        <w:pStyle w:val="ListParagraph"/>
        <w:ind w:firstLine="720"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«35. Отдел экономики и планирования Администрации города Шарыпово в срок до 20 февраля года, следующего за отчетным годом, и до 25 ноября текущего финансового года на основе данных, указанных в </w:t>
      </w:r>
      <w:hyperlink w:anchor="Par0">
        <w:r>
          <w:rPr>
            <w:rFonts w:cs="Arial" w:ascii="Arial" w:hAnsi="Arial"/>
            <w:bCs/>
            <w:sz w:val="24"/>
            <w:szCs w:val="24"/>
          </w:rPr>
          <w:t>пункте 34</w:t>
        </w:r>
      </w:hyperlink>
      <w:r>
        <w:rPr>
          <w:rFonts w:cs="Arial" w:ascii="Arial" w:hAnsi="Arial"/>
          <w:bCs/>
          <w:sz w:val="24"/>
          <w:szCs w:val="24"/>
        </w:rPr>
        <w:t xml:space="preserve"> настоящего Порядка, формирует сводный отчет выполнения муниципальными учреждениями муниципальных заданий по форме согласно приложению №5 к настоящему Порядку в разрезе отраслей экономики (далее - сводный отчет) и пояснительную записку к нему, сводный отчет ожидаемого выполнения муниципальных заданий за текущий финансовый год по итогам 9 месяцев в разрезе отраслей экономики.</w:t>
      </w:r>
    </w:p>
    <w:p>
      <w:pPr>
        <w:pStyle w:val="ListParagraph"/>
        <w:ind w:firstLine="720"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Сводный отчет вместе с пояснительной запиской к нему представляется в Финансовое управление администрации города Шарыпово в срок, указанный в настоящем пункте, сводный отчет ожидаемого выполнения муниципальных заданий за текущий финансовый год вместе с пояснительной запиской к нему представляется до 5 декабря текущего финансового года. Сводный отчет учитывается при разработке прогноза социально-экономического развития города на очередной финансовый год и плановый период для принятия обоснованных управленческих решений по улучшению качества и доступности муниципальных услуг (работ).</w:t>
      </w:r>
    </w:p>
    <w:p>
      <w:pPr>
        <w:pStyle w:val="ListParagraph"/>
        <w:ind w:firstLine="720"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Сводный отчет подлежит размещению на официальном сайте муниципального образования города Шарыпово Красноярского края (</w:t>
      </w:r>
      <w:hyperlink r:id="rId13">
        <w:r>
          <w:rPr>
            <w:rFonts w:cs="Arial" w:ascii="Arial" w:hAnsi="Arial"/>
            <w:bCs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bCs/>
          <w:sz w:val="24"/>
          <w:szCs w:val="24"/>
        </w:rPr>
        <w:t>).</w:t>
      </w:r>
    </w:p>
    <w:p>
      <w:pPr>
        <w:pStyle w:val="ListParagraph"/>
        <w:ind w:firstLine="720"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36. Главные распорядители средств бюджета города Шарыпово, в ведении которых находятся муниципальные казенные учреждения, структурные подразделения Администрации города Шарыпово, осуществляющие функции и полномочия учредителей бюджетных или автономных учреждений, осуществляют контроль за:</w:t>
      </w:r>
    </w:p>
    <w:p>
      <w:pPr>
        <w:pStyle w:val="ListParagraph"/>
        <w:ind w:firstLine="720"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соблюдением муниципальными учреждениями города требований и условий, установленных для них муниципальными заданиями;</w:t>
      </w:r>
    </w:p>
    <w:p>
      <w:pPr>
        <w:pStyle w:val="ListParagraph"/>
        <w:ind w:firstLine="720"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соответствием утвержденных показателей муниципальных заданий прогнозу сводных показателей муниципальных заданий муниципальной программы на очередной финансовый год и плановый период.»</w:t>
      </w:r>
    </w:p>
    <w:p>
      <w:pPr>
        <w:pStyle w:val="ConsPlusNormal"/>
        <w:widowControl/>
        <w:numPr>
          <w:ilvl w:val="2"/>
          <w:numId w:val="3"/>
        </w:numPr>
        <w:ind w:firstLine="720"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№4 «Сводный отчет о фактическом исполнении муниципальных заданий муниципальными учреждениями в отчетном финансовом году» к Порядку и условиям формирования муниципального задания в отношении муниципальных учреждений и финансового обеспечения выполнения муниципального задания изложить в новой редакции согласно приложению №1 к настоящему постановлению.</w:t>
      </w:r>
    </w:p>
    <w:p>
      <w:pPr>
        <w:pStyle w:val="ConsPlusNormal"/>
        <w:widowControl/>
        <w:numPr>
          <w:ilvl w:val="2"/>
          <w:numId w:val="3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дополнить приложением</w:t>
      </w:r>
      <w:r>
        <w:rPr>
          <w:sz w:val="24"/>
          <w:szCs w:val="24"/>
        </w:rPr>
        <w:t xml:space="preserve"> №5 «Сводный отчет о фактическом выполнении муниципальных заданий муниципальными учреждениями за ____ год» согласно приложению №2 к настоящему постановлению.</w:t>
      </w:r>
    </w:p>
    <w:p>
      <w:pPr>
        <w:pStyle w:val="ConsPlusNormal"/>
        <w:widowControl/>
        <w:numPr>
          <w:ilvl w:val="2"/>
          <w:numId w:val="3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приложением №6 «Расчет объема субсидии на муниципальное задание, подлежащей возврату в бюджет города» согласно приложению №3 к настоящему постановлению.</w:t>
      </w:r>
    </w:p>
    <w:p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Пункты 1.1.3. – 1.1.7. в редакции настоящего постановления применяются к правоотношениям, возникающим при формировании муниципальных заданий на оказание муниципальных услуг (выполнение работ) муниципальными учреждениями города Шарыпово, начиная с муниципальных заданий на 2025 год и плановый период 2026 - 2027 годов.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14">
        <w:r>
          <w:rPr>
            <w:rStyle w:val="Hyperlink"/>
            <w:rFonts w:cs="Arial" w:ascii="Arial" w:hAnsi="Arial"/>
            <w:sz w:val="24"/>
            <w:szCs w:val="24"/>
          </w:rPr>
          <w:t>https://sharypovo.gosuslugi.ru</w:t>
        </w:r>
      </w:hyperlink>
      <w:r>
        <w:rPr>
          <w:rFonts w:cs="Arial" w:ascii="Arial" w:hAnsi="Arial"/>
          <w:sz w:val="24"/>
          <w:szCs w:val="24"/>
        </w:rPr>
        <w:t xml:space="preserve">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Заместитель Главы города Шарыпово</w:t>
      </w:r>
    </w:p>
    <w:p>
      <w:pPr>
        <w:sectPr>
          <w:type w:val="nextPage"/>
          <w:pgSz w:w="11906" w:h="16838"/>
          <w:pgMar w:left="1701" w:right="850" w:gutter="0" w:header="0" w:top="1134" w:footer="0" w:bottom="426"/>
          <w:pgNumType w:fmt="decimal"/>
          <w:formProt w:val="false"/>
          <w:textDirection w:val="lrTb"/>
          <w:docGrid w:type="default" w:linePitch="360" w:charSpace="16384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социальным вопросам </w:t>
        <w:tab/>
        <w:tab/>
        <w:tab/>
        <w:tab/>
        <w:tab/>
        <w:tab/>
        <w:t xml:space="preserve">     И.А. Синькевич</w:t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№1 к постановлению Администрации города Шарыпово</w:t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от </w:t>
      </w:r>
      <w:r>
        <w:rPr>
          <w:rFonts w:cs="Arial" w:ascii="Arial" w:hAnsi="Arial"/>
          <w:sz w:val="24"/>
          <w:szCs w:val="24"/>
          <w:u w:val="single"/>
        </w:rPr>
        <w:t>25.11.2024</w:t>
      </w:r>
      <w:r>
        <w:rPr>
          <w:rFonts w:cs="Arial" w:ascii="Arial" w:hAnsi="Arial"/>
          <w:sz w:val="24"/>
          <w:szCs w:val="24"/>
        </w:rPr>
        <w:t xml:space="preserve"> № </w:t>
      </w:r>
      <w:r>
        <w:rPr>
          <w:rFonts w:cs="Arial" w:ascii="Arial" w:hAnsi="Arial"/>
          <w:sz w:val="24"/>
          <w:szCs w:val="24"/>
          <w:u w:val="single"/>
        </w:rPr>
        <w:t>257</w:t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№4 к Порядку и условиям формирования муниципального задания в отношении муниципальных учреждений и финансового обеспечения выполнения муниципального задания </w:t>
      </w:r>
    </w:p>
    <w:p>
      <w:pPr>
        <w:pStyle w:val="Normal"/>
        <w:ind w:left="552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ОТЧЕТ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выполнении муниципального задания №__________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20__ год и плановый период 20__ и 20__ годов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884" w:type="dxa"/>
        <w:jc w:val="left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814"/>
        <w:gridCol w:w="8533"/>
        <w:gridCol w:w="2552"/>
        <w:gridCol w:w="1985"/>
      </w:tblGrid>
      <w:tr>
        <w:trPr>
          <w:trHeight w:val="29" w:hRule="atLeast"/>
        </w:trPr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Коды</w:t>
            </w:r>
          </w:p>
        </w:tc>
      </w:tr>
      <w:tr>
        <w:trPr>
          <w:trHeight w:val="488" w:hRule="atLeast"/>
        </w:trPr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муниципального учреждения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Форма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ОКУД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0506001</w:t>
              </w:r>
            </w:hyperlink>
          </w:p>
        </w:tc>
      </w:tr>
      <w:tr>
        <w:trPr>
          <w:trHeight w:val="301" w:hRule="atLeast"/>
        </w:trPr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Виды деятельности муниципального учреждения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сводному реестру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 </w:t>
            </w:r>
            <w:hyperlink r:id="rId16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(указываются виды деятельности муниципального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учреждения, по которым ему утверждается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муниципальное задание)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 </w:t>
            </w:r>
            <w:hyperlink r:id="rId17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347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 </w:t>
            </w:r>
            <w:hyperlink r:id="rId1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Периодичность</w:t>
            </w:r>
          </w:p>
        </w:tc>
        <w:tc>
          <w:tcPr>
            <w:tcW w:w="13070" w:type="dxa"/>
            <w:gridSpan w:val="3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</w:tbl>
    <w:p>
      <w:pPr>
        <w:sectPr>
          <w:type w:val="nextPage"/>
          <w:pgSz w:orient="landscape" w:w="16838" w:h="11906"/>
          <w:pgMar w:left="397" w:right="397" w:gutter="0" w:header="0" w:top="568" w:footer="0" w:bottom="85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Часть 1. Сведения об оказываемых муниципальных услугах </w:t>
      </w:r>
      <w:hyperlink w:anchor="Par332">
        <w:r>
          <w:rPr>
            <w:rFonts w:cs="Arial" w:ascii="Arial" w:hAnsi="Arial"/>
            <w:color w:val="0000FF"/>
            <w:sz w:val="24"/>
            <w:szCs w:val="24"/>
          </w:rPr>
          <w:t>&lt;1&gt;</w:t>
        </w:r>
      </w:hyperlink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Раздел 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604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0203"/>
        <w:gridCol w:w="5707"/>
        <w:gridCol w:w="130"/>
      </w:tblGrid>
      <w:tr>
        <w:trPr/>
        <w:tc>
          <w:tcPr>
            <w:tcW w:w="10203" w:type="dxa"/>
            <w:tcBorders/>
          </w:tcPr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Наименование муниципальной услуги 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___________________________________________________________________________.</w:t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Категории потребителей муниципальной услуги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___________________________________________________________________________.</w:t>
            </w:r>
          </w:p>
        </w:tc>
        <w:tc>
          <w:tcPr>
            <w:tcW w:w="5707" w:type="dxa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по общероссийскому базовому (отраслевому) или региональному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перечню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040" w:type="dxa"/>
            <w:gridSpan w:val="3"/>
            <w:tcBorders/>
          </w:tcPr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60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074"/>
        <w:gridCol w:w="1258"/>
        <w:gridCol w:w="1259"/>
        <w:gridCol w:w="1260"/>
        <w:gridCol w:w="1261"/>
        <w:gridCol w:w="1260"/>
        <w:gridCol w:w="1260"/>
        <w:gridCol w:w="1259"/>
        <w:gridCol w:w="414"/>
        <w:gridCol w:w="1369"/>
        <w:gridCol w:w="954"/>
        <w:gridCol w:w="1095"/>
        <w:gridCol w:w="1289"/>
        <w:gridCol w:w="1021"/>
      </w:tblGrid>
      <w:tr>
        <w:trPr/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по </w:t>
            </w:r>
            <w:hyperlink r:id="rId19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1407">
              <w:r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1408">
              <w:r>
                <w:rPr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</w:tr>
      <w:tr>
        <w:trPr>
          <w:trHeight w:val="631" w:hRule="atLeast"/>
        </w:trPr>
        <w:tc>
          <w:tcPr>
            <w:tcW w:w="1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отчетную дату </w:t>
            </w:r>
            <w:hyperlink w:anchor="P1406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1" w:name="P1140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2" w:name="P1141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3" w:name="P1142"/>
            <w:bookmarkEnd w:id="3"/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4" w:name="P1143"/>
            <w:bookmarkEnd w:id="4"/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397" w:right="397" w:gutter="0" w:header="0" w:top="568" w:footer="0" w:bottom="850"/>
          <w:pgNumType w:fmt="decimal"/>
          <w:formProt w:val="false"/>
          <w:textDirection w:val="lrTb"/>
          <w:docGrid w:type="default" w:linePitch="100" w:charSpace="8192"/>
        </w:sect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60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024"/>
        <w:gridCol w:w="1198"/>
        <w:gridCol w:w="1199"/>
        <w:gridCol w:w="1198"/>
        <w:gridCol w:w="1198"/>
        <w:gridCol w:w="1197"/>
        <w:gridCol w:w="1198"/>
        <w:gridCol w:w="1198"/>
        <w:gridCol w:w="399"/>
        <w:gridCol w:w="1302"/>
        <w:gridCol w:w="909"/>
        <w:gridCol w:w="1042"/>
        <w:gridCol w:w="1227"/>
        <w:gridCol w:w="973"/>
        <w:gridCol w:w="772"/>
      </w:tblGrid>
      <w:tr>
        <w:trPr/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Уникальный номер реестровой записи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Средний размер платы (цена, тариф)</w:t>
            </w:r>
          </w:p>
        </w:tc>
      </w:tr>
      <w:tr>
        <w:trPr/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9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единица измерения по </w:t>
            </w:r>
            <w:hyperlink r:id="rId20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значение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допустимое (возможное) отклонение </w:t>
            </w:r>
            <w:hyperlink w:anchor="P1407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140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причина отклонения</w:t>
            </w:r>
          </w:p>
        </w:tc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код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утверждено в муниципальном задании на год </w:t>
            </w:r>
            <w:hyperlink w:anchor="P140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исполнено на отчетную дату </w:t>
            </w:r>
            <w:hyperlink w:anchor="P1406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P1204"/>
            <w:bookmarkEnd w:id="5"/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P1207"/>
            <w:bookmarkEnd w:id="6"/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97" w:right="397" w:gutter="0" w:header="0" w:top="568" w:footer="0" w:bottom="850"/>
          <w:pgNumType w:fmt="decimal"/>
          <w:formProt w:val="false"/>
          <w:textDirection w:val="lrTb"/>
          <w:docGrid w:type="default" w:linePitch="100" w:charSpace="8192"/>
        </w:sect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72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Часть 2. Сведения о выполняемых работах </w:t>
      </w:r>
      <w:hyperlink w:anchor="P1404">
        <w:r>
          <w:rPr>
            <w:color w:val="0000FF"/>
            <w:sz w:val="24"/>
            <w:szCs w:val="24"/>
          </w:rPr>
          <w:t>&lt;1&gt;</w:t>
        </w:r>
      </w:hyperlink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Раздел _____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1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1"/>
        <w:gridCol w:w="2042"/>
        <w:gridCol w:w="1247"/>
      </w:tblGrid>
      <w:tr>
        <w:trPr/>
        <w:tc>
          <w:tcPr>
            <w:tcW w:w="8221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Наименование работы ________________________________________________</w:t>
            </w:r>
          </w:p>
        </w:tc>
        <w:tc>
          <w:tcPr>
            <w:tcW w:w="2042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по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региональному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перечню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21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____________________________________________________________.</w:t>
            </w:r>
          </w:p>
        </w:tc>
        <w:tc>
          <w:tcPr>
            <w:tcW w:w="2042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21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Категории потребителей работы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___________________________________________________________.</w:t>
            </w:r>
          </w:p>
        </w:tc>
        <w:tc>
          <w:tcPr>
            <w:tcW w:w="2042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510" w:type="dxa"/>
            <w:gridSpan w:val="3"/>
            <w:tcBorders/>
          </w:tcPr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60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074"/>
        <w:gridCol w:w="1258"/>
        <w:gridCol w:w="1259"/>
        <w:gridCol w:w="1260"/>
        <w:gridCol w:w="1261"/>
        <w:gridCol w:w="1260"/>
        <w:gridCol w:w="1260"/>
        <w:gridCol w:w="1259"/>
        <w:gridCol w:w="414"/>
        <w:gridCol w:w="1369"/>
        <w:gridCol w:w="954"/>
        <w:gridCol w:w="1095"/>
        <w:gridCol w:w="1289"/>
        <w:gridCol w:w="1021"/>
      </w:tblGrid>
      <w:tr>
        <w:trPr/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работы</w:t>
            </w:r>
          </w:p>
        </w:tc>
      </w:tr>
      <w:tr>
        <w:trPr/>
        <w:tc>
          <w:tcPr>
            <w:tcW w:w="1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по </w:t>
            </w:r>
            <w:hyperlink r:id="rId21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1407">
              <w:r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1408">
              <w:r>
                <w:rPr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</w:tr>
      <w:tr>
        <w:trPr/>
        <w:tc>
          <w:tcPr>
            <w:tcW w:w="1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отчетную дату </w:t>
            </w:r>
            <w:hyperlink w:anchor="P1406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397" w:right="397" w:gutter="0" w:header="0" w:top="568" w:footer="0" w:bottom="850"/>
          <w:pgNumType w:fmt="decimal"/>
          <w:formProt w:val="false"/>
          <w:textDirection w:val="lrTb"/>
          <w:docGrid w:type="default" w:linePitch="100" w:charSpace="8192"/>
        </w:sect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30"/>
        <w:gridCol w:w="1088"/>
        <w:gridCol w:w="1087"/>
        <w:gridCol w:w="1086"/>
        <w:gridCol w:w="1087"/>
        <w:gridCol w:w="1086"/>
        <w:gridCol w:w="1086"/>
        <w:gridCol w:w="1086"/>
        <w:gridCol w:w="368"/>
        <w:gridCol w:w="1180"/>
        <w:gridCol w:w="828"/>
        <w:gridCol w:w="947"/>
        <w:gridCol w:w="1111"/>
        <w:gridCol w:w="885"/>
        <w:gridCol w:w="705"/>
      </w:tblGrid>
      <w:tr>
        <w:trPr/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7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платы (цена, тариф)</w:t>
            </w:r>
          </w:p>
        </w:tc>
      </w:tr>
      <w:tr>
        <w:trPr/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7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по </w:t>
            </w:r>
            <w:hyperlink r:id="rId22">
              <w:r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1407">
              <w:r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1408">
              <w:r>
                <w:rPr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1405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отчетную дату </w:t>
            </w:r>
            <w:hyperlink w:anchor="P1406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7" w:name="P1347"/>
            <w:bookmarkEnd w:id="7"/>
            <w:r>
              <w:rPr>
                <w:sz w:val="24"/>
                <w:szCs w:val="24"/>
              </w:rPr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8" w:name="P1349"/>
            <w:bookmarkEnd w:id="8"/>
            <w:r>
              <w:rPr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9" w:name="P1350"/>
            <w:bookmarkEnd w:id="9"/>
            <w:r>
              <w:rPr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10" w:name="P1351"/>
            <w:bookmarkEnd w:id="10"/>
            <w:r>
              <w:rPr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11" w:name="P1352"/>
            <w:bookmarkEnd w:id="11"/>
            <w:r>
              <w:rPr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139"/>
        <w:gridCol w:w="1757"/>
        <w:gridCol w:w="1303"/>
        <w:gridCol w:w="1871"/>
      </w:tblGrid>
      <w:tr>
        <w:trPr/>
        <w:tc>
          <w:tcPr>
            <w:tcW w:w="4139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757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(должность)</w:t>
            </w:r>
          </w:p>
        </w:tc>
        <w:tc>
          <w:tcPr>
            <w:tcW w:w="1303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(подпись)</w:t>
            </w:r>
          </w:p>
        </w:tc>
        <w:tc>
          <w:tcPr>
            <w:tcW w:w="1871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(расшифровка подписи)</w:t>
            </w:r>
          </w:p>
        </w:tc>
      </w:tr>
      <w:tr>
        <w:trPr/>
        <w:tc>
          <w:tcPr>
            <w:tcW w:w="9070" w:type="dxa"/>
            <w:gridSpan w:val="4"/>
            <w:tcBorders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"__" __________ 20__ г.</w:t>
            </w:r>
          </w:p>
        </w:tc>
      </w:tr>
    </w:tbl>
    <w:p>
      <w:pPr>
        <w:pStyle w:val="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--------------------------------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12" w:name="Par332"/>
      <w:bookmarkEnd w:id="12"/>
      <w:r>
        <w:rPr>
          <w:sz w:val="24"/>
          <w:szCs w:val="24"/>
        </w:rPr>
        <w:t>&lt;1&gt;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13" w:name="P1405"/>
      <w:bookmarkEnd w:id="13"/>
      <w:r>
        <w:rPr>
          <w:sz w:val="24"/>
          <w:szCs w:val="24"/>
        </w:rPr>
        <w:t>&lt;2&gt; Формируется в соответствии с муниципальным заданием.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14" w:name="P1406"/>
      <w:bookmarkEnd w:id="14"/>
      <w:r>
        <w:rPr>
          <w:sz w:val="24"/>
          <w:szCs w:val="24"/>
        </w:rPr>
        <w:t>&lt;3&gt;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15" w:name="P1407"/>
      <w:bookmarkEnd w:id="15"/>
      <w:r>
        <w:rPr>
          <w:sz w:val="24"/>
          <w:szCs w:val="24"/>
        </w:rPr>
        <w:t xml:space="preserve">&lt;4&gt; Рассчитывается путем умножения значения показателя объема и (или) качества муниципальной услуги (работы), установленного в муниципальном задании </w:t>
      </w:r>
      <w:hyperlink w:anchor="P1349">
        <w:r>
          <w:rPr>
            <w:color w:val="0000FF"/>
            <w:sz w:val="24"/>
            <w:szCs w:val="24"/>
          </w:rPr>
          <w:t>(графа 10)</w:t>
        </w:r>
      </w:hyperlink>
      <w:r>
        <w:rPr>
          <w:sz w:val="24"/>
          <w:szCs w:val="24"/>
        </w:rPr>
        <w:t xml:space="preserve">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</w:t>
      </w:r>
      <w:hyperlink w:anchor="P1347">
        <w:r>
          <w:rPr>
            <w:color w:val="0000FF"/>
            <w:sz w:val="24"/>
            <w:szCs w:val="24"/>
          </w:rPr>
          <w:t>(графа 8)</w:t>
        </w:r>
      </w:hyperlink>
      <w:r>
        <w:rPr>
          <w:sz w:val="24"/>
          <w:szCs w:val="24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1351">
        <w:r>
          <w:rPr>
            <w:color w:val="0000FF"/>
            <w:sz w:val="24"/>
            <w:szCs w:val="24"/>
          </w:rPr>
          <w:t>граф 12</w:t>
        </w:r>
      </w:hyperlink>
      <w:r>
        <w:rPr>
          <w:sz w:val="24"/>
          <w:szCs w:val="24"/>
        </w:rPr>
        <w:t xml:space="preserve"> и </w:t>
      </w:r>
      <w:hyperlink w:anchor="P1352">
        <w:r>
          <w:rPr>
            <w:color w:val="0000FF"/>
            <w:sz w:val="24"/>
            <w:szCs w:val="24"/>
          </w:rPr>
          <w:t>13 пункта 3.2 части 2</w:t>
        </w:r>
      </w:hyperlink>
      <w:r>
        <w:rPr>
          <w:sz w:val="24"/>
          <w:szCs w:val="24"/>
        </w:rPr>
        <w:t xml:space="preserve"> настоящего отчета не рассчитываются.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16" w:name="P1408"/>
      <w:bookmarkEnd w:id="16"/>
      <w:r>
        <w:rPr>
          <w:sz w:val="24"/>
          <w:szCs w:val="24"/>
        </w:rPr>
        <w:t xml:space="preserve">&lt;5&gt; Рассчитывается при формировании отчета за год как разница показателей </w:t>
      </w:r>
      <w:hyperlink w:anchor="P1349">
        <w:r>
          <w:rPr>
            <w:color w:val="0000FF"/>
            <w:sz w:val="24"/>
            <w:szCs w:val="24"/>
          </w:rPr>
          <w:t>граф 10</w:t>
        </w:r>
      </w:hyperlink>
      <w:r>
        <w:rPr>
          <w:sz w:val="24"/>
          <w:szCs w:val="24"/>
        </w:rPr>
        <w:t xml:space="preserve">, </w:t>
      </w:r>
      <w:hyperlink w:anchor="P1350">
        <w:r>
          <w:rPr>
            <w:color w:val="0000FF"/>
            <w:sz w:val="24"/>
            <w:szCs w:val="24"/>
          </w:rPr>
          <w:t>11</w:t>
        </w:r>
      </w:hyperlink>
      <w:r>
        <w:rPr>
          <w:sz w:val="24"/>
          <w:szCs w:val="24"/>
        </w:rPr>
        <w:t xml:space="preserve"> и </w:t>
      </w:r>
      <w:hyperlink w:anchor="P1351">
        <w:r>
          <w:rPr>
            <w:color w:val="0000FF"/>
            <w:sz w:val="24"/>
            <w:szCs w:val="24"/>
          </w:rPr>
          <w:t>12</w:t>
        </w:r>
      </w:hyperlink>
      <w:r>
        <w:rPr>
          <w:sz w:val="24"/>
          <w:szCs w:val="24"/>
        </w:rPr>
        <w:t>.</w:t>
      </w:r>
    </w:p>
    <w:p>
      <w:pPr>
        <w:sectPr>
          <w:type w:val="nextPage"/>
          <w:pgSz w:orient="landscape" w:w="16838" w:h="11906"/>
          <w:pgMar w:left="1134" w:right="1134" w:gutter="0" w:header="0" w:top="709" w:footer="0" w:bottom="850"/>
          <w:pgNumType w:fmt="decimal"/>
          <w:formProt w:val="false"/>
          <w:textDirection w:val="lrTb"/>
          <w:docGrid w:type="default" w:linePitch="360" w:charSpace="16384"/>
        </w:sectPr>
        <w:pStyle w:val="Normal"/>
        <w:ind w:left="552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№2 к постановлению Администрации города Шарыпово</w:t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от </w:t>
      </w:r>
      <w:r>
        <w:rPr>
          <w:rFonts w:cs="Arial" w:ascii="Arial" w:hAnsi="Arial"/>
          <w:sz w:val="24"/>
          <w:szCs w:val="24"/>
          <w:u w:val="single"/>
        </w:rPr>
        <w:t>25.11.2024</w:t>
      </w:r>
      <w:r>
        <w:rPr>
          <w:rFonts w:cs="Arial" w:ascii="Arial" w:hAnsi="Arial"/>
          <w:sz w:val="24"/>
          <w:szCs w:val="24"/>
        </w:rPr>
        <w:t xml:space="preserve"> № </w:t>
      </w:r>
      <w:r>
        <w:rPr>
          <w:rFonts w:cs="Arial" w:ascii="Arial" w:hAnsi="Arial"/>
          <w:sz w:val="24"/>
          <w:szCs w:val="24"/>
          <w:u w:val="single"/>
        </w:rPr>
        <w:t>257</w:t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949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№5 к Порядку и условиям формирования муниципального задания в отношении муниципальных учреждений и финансового обеспечения выполнения муниципального задания </w:t>
      </w:r>
    </w:p>
    <w:p>
      <w:pPr>
        <w:pStyle w:val="Normal"/>
        <w:ind w:left="552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СВОДНЫЙ ОТЧЕТ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 фактическом выполнении муниципальных заданий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муниципальными учреждениями за ____ год</w:t>
      </w:r>
    </w:p>
    <w:p>
      <w:pPr>
        <w:pStyle w:val="Normal"/>
        <w:ind w:left="5529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247"/>
        <w:gridCol w:w="1178"/>
        <w:gridCol w:w="1089"/>
        <w:gridCol w:w="944"/>
        <w:gridCol w:w="1179"/>
        <w:gridCol w:w="887"/>
        <w:gridCol w:w="1251"/>
        <w:gridCol w:w="1019"/>
        <w:gridCol w:w="1003"/>
        <w:gridCol w:w="1178"/>
        <w:gridCol w:w="936"/>
        <w:gridCol w:w="1287"/>
        <w:gridCol w:w="1361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оказываемой услуги (выполняемой работы)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оказания (выполнения)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(качества, объема)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Значение, утвержденное в муниципальном задании на год </w:t>
            </w:r>
            <w:hyperlink w:anchor="P1507">
              <w:r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значение за год </w:t>
            </w:r>
            <w:hyperlink w:anchor="P1508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1509">
              <w:r>
                <w:rPr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1510">
              <w:r>
                <w:rPr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отклонения </w:t>
            </w:r>
            <w:hyperlink w:anchor="P1511">
              <w:r>
                <w:rPr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о выполнении муниципального задания муниципальным учреждением (выполнено, не выполнено) </w:t>
            </w:r>
            <w:hyperlink w:anchor="P1512">
              <w:r>
                <w:rPr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Справочно: выполнение муниципальными учреждениями муниципального задания по каждому показателю с учетом допустимого (возможного) отклонения </w:t>
            </w:r>
            <w:hyperlink w:anchor="P1513">
              <w:r>
                <w:rPr>
                  <w:color w:val="0000FF"/>
                  <w:sz w:val="24"/>
                  <w:szCs w:val="24"/>
                </w:rPr>
                <w:t>&lt;8&gt;</w:t>
              </w:r>
            </w:hyperlink>
            <w:r>
              <w:rPr>
                <w:sz w:val="24"/>
                <w:szCs w:val="24"/>
              </w:rPr>
              <w:t>, %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17" w:name="P1448"/>
            <w:bookmarkEnd w:id="17"/>
            <w:r>
              <w:rPr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bookmarkStart w:id="18" w:name="P1450"/>
            <w:bookmarkEnd w:id="18"/>
            <w:r>
              <w:rPr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(работа)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&lt;1&gt; Сводный отчет о фактическом выполнении муниципальных заданий муниципальными учреждениями формируется на основании годового и предварительного отчетов муниципальных учреждений, представленных в соответствии с </w:t>
      </w:r>
      <w:hyperlink w:anchor="P252">
        <w:r>
          <w:rPr>
            <w:color w:val="0000FF"/>
            <w:sz w:val="24"/>
            <w:szCs w:val="24"/>
          </w:rPr>
          <w:t>пунктами 31</w:t>
        </w:r>
      </w:hyperlink>
      <w:r>
        <w:rPr>
          <w:sz w:val="24"/>
          <w:szCs w:val="24"/>
        </w:rPr>
        <w:t xml:space="preserve"> и </w:t>
      </w:r>
      <w:hyperlink w:anchor="P256">
        <w:r>
          <w:rPr>
            <w:color w:val="0000FF"/>
            <w:sz w:val="24"/>
            <w:szCs w:val="24"/>
          </w:rPr>
          <w:t>33</w:t>
        </w:r>
      </w:hyperlink>
      <w:r>
        <w:rPr>
          <w:sz w:val="24"/>
          <w:szCs w:val="24"/>
        </w:rPr>
        <w:t xml:space="preserve"> настоящего Порядка.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19" w:name="P1507"/>
      <w:bookmarkEnd w:id="19"/>
      <w:r>
        <w:rPr>
          <w:sz w:val="24"/>
          <w:szCs w:val="24"/>
        </w:rPr>
        <w:t xml:space="preserve">&lt;2&gt; Значение соответствует значениям </w:t>
      </w:r>
      <w:hyperlink w:anchor="P1204">
        <w:r>
          <w:rPr>
            <w:color w:val="0000FF"/>
            <w:sz w:val="24"/>
            <w:szCs w:val="24"/>
          </w:rPr>
          <w:t>графы 10 пунктов 3.1</w:t>
        </w:r>
      </w:hyperlink>
      <w:r>
        <w:rPr>
          <w:sz w:val="24"/>
          <w:szCs w:val="24"/>
        </w:rPr>
        <w:t xml:space="preserve"> и </w:t>
      </w:r>
      <w:hyperlink w:anchor="P1173">
        <w:r>
          <w:rPr>
            <w:color w:val="0000FF"/>
            <w:sz w:val="24"/>
            <w:szCs w:val="24"/>
          </w:rPr>
          <w:t>3.2 частей 1</w:t>
        </w:r>
      </w:hyperlink>
      <w:r>
        <w:rPr>
          <w:sz w:val="24"/>
          <w:szCs w:val="24"/>
        </w:rPr>
        <w:t xml:space="preserve"> и </w:t>
      </w:r>
      <w:hyperlink w:anchor="P1241">
        <w:r>
          <w:rPr>
            <w:color w:val="0000FF"/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отчета о выполнении муниципального задания за соответствующий год, формируемого по форме согласно приложению 4 к настоящему Порядку (далее - Отчет).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20" w:name="P1508"/>
      <w:bookmarkEnd w:id="20"/>
      <w:r>
        <w:rPr>
          <w:sz w:val="24"/>
          <w:szCs w:val="24"/>
        </w:rPr>
        <w:t xml:space="preserve">&lt;3&gt; Значение соответствует значениям </w:t>
      </w:r>
      <w:hyperlink w:anchor="P1140">
        <w:r>
          <w:rPr>
            <w:color w:val="0000FF"/>
            <w:sz w:val="24"/>
            <w:szCs w:val="24"/>
          </w:rPr>
          <w:t>графы 11 пунктов 3.1</w:t>
        </w:r>
      </w:hyperlink>
      <w:r>
        <w:rPr>
          <w:sz w:val="24"/>
          <w:szCs w:val="24"/>
        </w:rPr>
        <w:t xml:space="preserve"> и </w:t>
      </w:r>
      <w:hyperlink w:anchor="P1173">
        <w:r>
          <w:rPr>
            <w:color w:val="0000FF"/>
            <w:sz w:val="24"/>
            <w:szCs w:val="24"/>
          </w:rPr>
          <w:t>3.2 частей 1</w:t>
        </w:r>
      </w:hyperlink>
      <w:r>
        <w:rPr>
          <w:sz w:val="24"/>
          <w:szCs w:val="24"/>
        </w:rPr>
        <w:t xml:space="preserve"> и </w:t>
      </w:r>
      <w:hyperlink w:anchor="P1241">
        <w:r>
          <w:rPr>
            <w:color w:val="0000FF"/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Отчета.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21" w:name="P1509"/>
      <w:bookmarkEnd w:id="21"/>
      <w:r>
        <w:rPr>
          <w:sz w:val="24"/>
          <w:szCs w:val="24"/>
        </w:rPr>
        <w:t xml:space="preserve">&lt;4&gt; Значение соответствует значениям </w:t>
      </w:r>
      <w:hyperlink w:anchor="P1141">
        <w:r>
          <w:rPr>
            <w:color w:val="0000FF"/>
            <w:sz w:val="24"/>
            <w:szCs w:val="24"/>
          </w:rPr>
          <w:t>графы 12 пунктов 3.1</w:t>
        </w:r>
      </w:hyperlink>
      <w:r>
        <w:rPr>
          <w:sz w:val="24"/>
          <w:szCs w:val="24"/>
        </w:rPr>
        <w:t xml:space="preserve"> и </w:t>
      </w:r>
      <w:hyperlink w:anchor="P1173">
        <w:r>
          <w:rPr>
            <w:color w:val="0000FF"/>
            <w:sz w:val="24"/>
            <w:szCs w:val="24"/>
          </w:rPr>
          <w:t>3.2 частей 1</w:t>
        </w:r>
      </w:hyperlink>
      <w:r>
        <w:rPr>
          <w:sz w:val="24"/>
          <w:szCs w:val="24"/>
        </w:rPr>
        <w:t xml:space="preserve"> и </w:t>
      </w:r>
      <w:hyperlink w:anchor="P1241">
        <w:r>
          <w:rPr>
            <w:color w:val="0000FF"/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Отчета.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22" w:name="P1510"/>
      <w:bookmarkEnd w:id="22"/>
      <w:r>
        <w:rPr>
          <w:sz w:val="24"/>
          <w:szCs w:val="24"/>
        </w:rPr>
        <w:t xml:space="preserve">&lt;5&gt; Значение соответствует значениям </w:t>
      </w:r>
      <w:hyperlink w:anchor="P1142">
        <w:r>
          <w:rPr>
            <w:color w:val="0000FF"/>
            <w:sz w:val="24"/>
            <w:szCs w:val="24"/>
          </w:rPr>
          <w:t>графы 13 пунктов 3.1</w:t>
        </w:r>
      </w:hyperlink>
      <w:r>
        <w:rPr>
          <w:sz w:val="24"/>
          <w:szCs w:val="24"/>
        </w:rPr>
        <w:t xml:space="preserve"> и </w:t>
      </w:r>
      <w:hyperlink w:anchor="P1173">
        <w:r>
          <w:rPr>
            <w:color w:val="0000FF"/>
            <w:sz w:val="24"/>
            <w:szCs w:val="24"/>
          </w:rPr>
          <w:t>3.2 частей 1</w:t>
        </w:r>
      </w:hyperlink>
      <w:r>
        <w:rPr>
          <w:sz w:val="24"/>
          <w:szCs w:val="24"/>
        </w:rPr>
        <w:t xml:space="preserve"> и </w:t>
      </w:r>
      <w:hyperlink w:anchor="P1241">
        <w:r>
          <w:rPr>
            <w:color w:val="0000FF"/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Отчета.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23" w:name="P1511"/>
      <w:bookmarkEnd w:id="23"/>
      <w:r>
        <w:rPr>
          <w:sz w:val="24"/>
          <w:szCs w:val="24"/>
        </w:rPr>
        <w:t xml:space="preserve">&lt;6&gt; Информация соответствует информации </w:t>
      </w:r>
      <w:hyperlink w:anchor="P1143">
        <w:r>
          <w:rPr>
            <w:color w:val="0000FF"/>
            <w:sz w:val="24"/>
            <w:szCs w:val="24"/>
          </w:rPr>
          <w:t>графы 14 пунктов 3.1</w:t>
        </w:r>
      </w:hyperlink>
      <w:r>
        <w:rPr>
          <w:sz w:val="24"/>
          <w:szCs w:val="24"/>
        </w:rPr>
        <w:t xml:space="preserve"> и </w:t>
      </w:r>
      <w:hyperlink w:anchor="P1173">
        <w:r>
          <w:rPr>
            <w:color w:val="0000FF"/>
            <w:sz w:val="24"/>
            <w:szCs w:val="24"/>
          </w:rPr>
          <w:t>3.2 частей 1</w:t>
        </w:r>
      </w:hyperlink>
      <w:r>
        <w:rPr>
          <w:sz w:val="24"/>
          <w:szCs w:val="24"/>
        </w:rPr>
        <w:t xml:space="preserve"> и </w:t>
      </w:r>
      <w:hyperlink w:anchor="P1241">
        <w:r>
          <w:rPr>
            <w:color w:val="0000FF"/>
            <w:sz w:val="24"/>
            <w:szCs w:val="24"/>
          </w:rPr>
          <w:t>2</w:t>
        </w:r>
      </w:hyperlink>
      <w:r>
        <w:rPr>
          <w:sz w:val="24"/>
          <w:szCs w:val="24"/>
        </w:rPr>
        <w:t xml:space="preserve"> Отчета.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24" w:name="P1512"/>
      <w:bookmarkEnd w:id="24"/>
      <w:r>
        <w:rPr>
          <w:sz w:val="24"/>
          <w:szCs w:val="24"/>
        </w:rPr>
        <w:t xml:space="preserve">&lt;7&gt; Заключение в соответствии с </w:t>
      </w:r>
      <w:hyperlink w:anchor="P237">
        <w:r>
          <w:rPr>
            <w:color w:val="0000FF"/>
            <w:sz w:val="24"/>
            <w:szCs w:val="24"/>
          </w:rPr>
          <w:t>абзацем первым пункта 30</w:t>
        </w:r>
      </w:hyperlink>
      <w:r>
        <w:rPr>
          <w:sz w:val="24"/>
          <w:szCs w:val="24"/>
        </w:rPr>
        <w:t xml:space="preserve"> настоящего Порядка.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bookmarkStart w:id="25" w:name="P1513"/>
      <w:bookmarkEnd w:id="25"/>
      <w:r>
        <w:rPr>
          <w:sz w:val="24"/>
          <w:szCs w:val="24"/>
        </w:rPr>
        <w:t>&lt;8&gt; Расчет производится только при формировании сводного отчета о фактическом выполнении муниципальных заданий за соответствующий год.</w:t>
      </w:r>
    </w:p>
    <w:p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Значение рассчитывается: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отношении показателя, характеризующего объем или качество муниципальной услуги (работы), большее значение которого отражает лучшее значение муниципальной услуги (работы) или лучшее качество муниципальной услуги (работы) - как отношение фактического значения показателя за год (графа 8 настоящего отчета) к значению, утвержденному в муниципальном задании с учетом допустимого (возможного) отклонения (разница </w:t>
      </w:r>
      <w:hyperlink w:anchor="P1448">
        <w:r>
          <w:rPr>
            <w:color w:val="0000FF"/>
            <w:sz w:val="24"/>
            <w:szCs w:val="24"/>
          </w:rPr>
          <w:t>графы 7</w:t>
        </w:r>
      </w:hyperlink>
      <w:r>
        <w:rPr>
          <w:sz w:val="24"/>
          <w:szCs w:val="24"/>
        </w:rPr>
        <w:t xml:space="preserve"> и </w:t>
      </w:r>
      <w:hyperlink w:anchor="P1450">
        <w:r>
          <w:rPr>
            <w:color w:val="0000FF"/>
            <w:sz w:val="24"/>
            <w:szCs w:val="24"/>
          </w:rPr>
          <w:t>графы 9</w:t>
        </w:r>
      </w:hyperlink>
      <w:r>
        <w:rPr>
          <w:sz w:val="24"/>
          <w:szCs w:val="24"/>
        </w:rPr>
        <w:t xml:space="preserve"> настоящего отчета);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отношении показателя, характеризующего объем или качество муниципальной услуги (работы), большее значение которого отражает худшее значение муниципальной услуги (работы) или худшее качество муниципальной услуги (работы) - как отношение значения, утвержденного в муниципальном задании с учетом допустимого (возможного) отклонения (разница </w:t>
      </w:r>
      <w:hyperlink w:anchor="P1448">
        <w:r>
          <w:rPr>
            <w:color w:val="0000FF"/>
            <w:sz w:val="24"/>
            <w:szCs w:val="24"/>
          </w:rPr>
          <w:t>графы 7</w:t>
        </w:r>
      </w:hyperlink>
      <w:r>
        <w:rPr>
          <w:sz w:val="24"/>
          <w:szCs w:val="24"/>
        </w:rPr>
        <w:t xml:space="preserve"> и </w:t>
      </w:r>
      <w:hyperlink w:anchor="P1450">
        <w:r>
          <w:rPr>
            <w:color w:val="0000FF"/>
            <w:sz w:val="24"/>
            <w:szCs w:val="24"/>
          </w:rPr>
          <w:t>графы 9</w:t>
        </w:r>
      </w:hyperlink>
      <w:r>
        <w:rPr>
          <w:sz w:val="24"/>
          <w:szCs w:val="24"/>
        </w:rPr>
        <w:t xml:space="preserve"> настоящего отчета) к фактическому значению показателя за год (графа 8 настоящего отчета).</w:t>
      </w:r>
    </w:p>
    <w:p>
      <w:pPr>
        <w:sectPr>
          <w:type w:val="nextPage"/>
          <w:pgSz w:orient="landscape" w:w="16838" w:h="11906"/>
          <w:pgMar w:left="1134" w:right="1134" w:gutter="0" w:header="0" w:top="709" w:footer="0" w:bottom="850"/>
          <w:pgNumType w:fmt="decimal"/>
          <w:formProt w:val="false"/>
          <w:textDirection w:val="lrTb"/>
          <w:docGrid w:type="default" w:linePitch="360" w:charSpace="16384"/>
        </w:sect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Если результат расчета больше 100%, то коэффициент признается равным 100%.</w:t>
      </w:r>
    </w:p>
    <w:p>
      <w:pPr>
        <w:pStyle w:val="Normal"/>
        <w:ind w:left="48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№3 к постановлению Администрации города Шарыпово</w:t>
      </w:r>
    </w:p>
    <w:p>
      <w:pPr>
        <w:pStyle w:val="Normal"/>
        <w:ind w:left="48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25.11.2024 № 257</w:t>
      </w:r>
    </w:p>
    <w:p>
      <w:pPr>
        <w:pStyle w:val="Normal"/>
        <w:ind w:left="48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8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№6 к Порядку и условиям формирования муниципального задания в отношении муниципальных учреждений и финансового обеспечения выполнения муниципального задания </w:t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821"/>
        <w:gridCol w:w="556"/>
        <w:gridCol w:w="1158"/>
        <w:gridCol w:w="4534"/>
      </w:tblGrid>
      <w:tr>
        <w:trPr/>
        <w:tc>
          <w:tcPr>
            <w:tcW w:w="4535" w:type="dxa"/>
            <w:gridSpan w:val="3"/>
            <w:tcBorders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4" w:type="dxa"/>
            <w:tcBorders>
              <w:bottom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gridSpan w:val="3"/>
            <w:tcBorders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4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муниципального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бюджетного или автономного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города)</w:t>
            </w:r>
          </w:p>
        </w:tc>
      </w:tr>
      <w:tr>
        <w:trPr/>
        <w:tc>
          <w:tcPr>
            <w:tcW w:w="9069" w:type="dxa"/>
            <w:gridSpan w:val="4"/>
            <w:tcBorders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6" w:name="P1542"/>
            <w:bookmarkEnd w:id="26"/>
            <w:r>
              <w:rPr>
                <w:sz w:val="24"/>
                <w:szCs w:val="24"/>
              </w:rPr>
              <w:t>РАСЧЕТ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объема субсидии на муниципальное задание, подлежащей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возврату в бюджет города</w:t>
            </w:r>
          </w:p>
        </w:tc>
      </w:tr>
      <w:tr>
        <w:trPr>
          <w:trHeight w:val="23" w:hRule="atLeast"/>
        </w:trPr>
        <w:tc>
          <w:tcPr>
            <w:tcW w:w="9069" w:type="dxa"/>
            <w:gridSpan w:val="4"/>
            <w:tcBorders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069" w:type="dxa"/>
            <w:gridSpan w:val="4"/>
            <w:tcBorders/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___________ 20__ г. между _________________________________________________________________,</w:t>
            </w:r>
          </w:p>
        </w:tc>
      </w:tr>
      <w:tr>
        <w:trPr/>
        <w:tc>
          <w:tcPr>
            <w:tcW w:w="3377" w:type="dxa"/>
            <w:gridSpan w:val="2"/>
            <w:tcBorders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92" w:type="dxa"/>
            <w:gridSpan w:val="2"/>
            <w:tcBorders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администрации города, осуществляющего отдельные функции и полномочия учредителя муниципального бюджетного учреждения (муниципального автономного учреждения), связанные с формированием и утверждением муниципального задания)</w:t>
            </w:r>
          </w:p>
        </w:tc>
      </w:tr>
      <w:tr>
        <w:trPr/>
        <w:tc>
          <w:tcPr>
            <w:tcW w:w="9069" w:type="dxa"/>
            <w:gridSpan w:val="4"/>
            <w:tcBorders/>
          </w:tcPr>
          <w:p>
            <w:pPr>
              <w:pStyle w:val="ConsPlu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именуемым в дальнейшем "Уполномоченный орган", и __________________________________________________________________,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муниципального бюджетного или автономного учреждения города)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именуемым в дальнейшем "Учреждение", было заключено соглашение о предоставлении субсидии на финансовое обеспечение выполнения муниципального задания на оказание муниципальных услуг (выполнение работ) (далее - Соглашение, субсидия, муниципальное задание).</w:t>
            </w:r>
          </w:p>
          <w:p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отчетом о выполнении муниципального задания за 20__ год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      </w:r>
          </w:p>
          <w:p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пункта ________ Соглашения Уполномоченный орган сообщает о необходимости возврата субсидии в бюджет города </w:t>
            </w:r>
            <w:hyperlink w:anchor="P1654">
              <w:r>
                <w:rPr>
                  <w:color w:val="0000FF"/>
                  <w:sz w:val="24"/>
                  <w:szCs w:val="24"/>
                </w:rPr>
                <w:t>&lt;1&gt;</w:t>
              </w:r>
            </w:hyperlink>
            <w:r>
              <w:rPr>
                <w:sz w:val="24"/>
                <w:szCs w:val="24"/>
              </w:rPr>
              <w:t xml:space="preserve"> в срок до "__" _______ 20 __ г. по коду классификации доходов бюджета города ___________________________________________________________________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классификации доходов бюджета города)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следующим реквизитам: _____________________</w:t>
            </w:r>
            <w:bookmarkStart w:id="27" w:name="_GoBack"/>
            <w:bookmarkEnd w:id="27"/>
            <w:r>
              <w:rPr>
                <w:sz w:val="24"/>
                <w:szCs w:val="24"/>
              </w:rPr>
              <w:t>_____.</w:t>
            </w:r>
          </w:p>
        </w:tc>
      </w:tr>
      <w:tr>
        <w:trPr/>
        <w:tc>
          <w:tcPr>
            <w:tcW w:w="2821" w:type="dxa"/>
            <w:tcBorders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48" w:type="dxa"/>
            <w:gridSpan w:val="3"/>
            <w:tcBorders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(реквизиты Уполномоченного органа)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16384"/>
        </w:sectPr>
      </w:pPr>
    </w:p>
    <w:tbl>
      <w:tblPr>
        <w:tblW w:w="160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091"/>
        <w:gridCol w:w="1309"/>
        <w:gridCol w:w="1308"/>
        <w:gridCol w:w="1307"/>
        <w:gridCol w:w="1308"/>
        <w:gridCol w:w="1309"/>
        <w:gridCol w:w="1308"/>
        <w:gridCol w:w="1307"/>
        <w:gridCol w:w="1308"/>
        <w:gridCol w:w="319"/>
        <w:gridCol w:w="1338"/>
        <w:gridCol w:w="1651"/>
        <w:gridCol w:w="1170"/>
      </w:tblGrid>
      <w:tr>
        <w:trPr/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или работа</w:t>
            </w:r>
          </w:p>
        </w:tc>
        <w:tc>
          <w:tcPr>
            <w:tcW w:w="4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Показатель, характеризующий объем не оказанных муниципальных услуг (невыполненных работ)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Нормативные затраты на единицу показателя, характеризующего объем муниципальной услуги (работы), руб. </w:t>
            </w:r>
            <w:hyperlink w:anchor="P1240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Объем, подлежащий возврату в бюджет города, руб.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уникальный номер реестровой записи </w:t>
            </w:r>
            <w:hyperlink w:anchor="P123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</w:t>
            </w:r>
            <w:hyperlink w:anchor="P123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показатель, характеризующий содержание муниципальной услуги (работы) </w:t>
            </w:r>
            <w:hyperlink w:anchor="P123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показатель, характеризующий условия (формы) оказания муниципальной услуги (выполнения работы) </w:t>
            </w:r>
            <w:hyperlink w:anchor="P123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наименование </w:t>
            </w:r>
            <w:hyperlink w:anchor="P123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единица измерения </w:t>
            </w:r>
            <w:hyperlink w:anchor="P123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отклонение, превышающее допустимое (возможное) отклонение </w:t>
            </w:r>
            <w:hyperlink w:anchor="P1239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 = гр. 11 х гр. 12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4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148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081"/>
        <w:gridCol w:w="1873"/>
        <w:gridCol w:w="340"/>
        <w:gridCol w:w="1303"/>
        <w:gridCol w:w="340"/>
        <w:gridCol w:w="3544"/>
      </w:tblGrid>
      <w:tr>
        <w:trPr/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Руководитель (уполномоченное лицо) Уполномоченного органа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081" w:type="dxa"/>
            <w:tcBorders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(расшифровка подписи)</w:t>
            </w:r>
          </w:p>
        </w:tc>
      </w:tr>
      <w:tr>
        <w:trPr/>
        <w:tc>
          <w:tcPr>
            <w:tcW w:w="4081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"__" ________ 20__ г.</w:t>
            </w:r>
          </w:p>
        </w:tc>
        <w:tc>
          <w:tcPr>
            <w:tcW w:w="1873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03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--------------------------------</w:t>
      </w:r>
    </w:p>
    <w:p>
      <w:pPr>
        <w:pStyle w:val="Normal"/>
        <w:widowControl w:val="false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28" w:name="P1237"/>
      <w:bookmarkEnd w:id="28"/>
      <w:r>
        <w:rPr>
          <w:rFonts w:cs="Arial" w:ascii="Arial" w:hAnsi="Arial"/>
          <w:sz w:val="24"/>
          <w:szCs w:val="24"/>
        </w:rPr>
        <w:t>&lt;1&gt; Возврат субсидии в бюджет города осуществляется в порядке, установленном пунктом 30 настоящего Порядка.</w:t>
      </w:r>
    </w:p>
    <w:p>
      <w:pPr>
        <w:pStyle w:val="Normal"/>
        <w:widowControl w:val="false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29" w:name="P1238"/>
      <w:bookmarkEnd w:id="29"/>
      <w:r>
        <w:rPr>
          <w:rFonts w:cs="Arial" w:ascii="Arial" w:hAnsi="Arial"/>
          <w:sz w:val="24"/>
          <w:szCs w:val="24"/>
        </w:rPr>
        <w:t>&lt;2&gt; Указывается в соответствии с муниципальным заданием.</w:t>
      </w:r>
    </w:p>
    <w:p>
      <w:pPr>
        <w:pStyle w:val="Normal"/>
        <w:widowControl w:val="false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30" w:name="P1239"/>
      <w:bookmarkEnd w:id="30"/>
      <w:r>
        <w:rPr>
          <w:rFonts w:cs="Arial" w:ascii="Arial" w:hAnsi="Arial"/>
          <w:sz w:val="24"/>
          <w:szCs w:val="24"/>
        </w:rPr>
        <w:t>&lt;3&gt; Указывается в соответствии с данными из графы 13 пункта 3.2 частей 1 и 2 Отчета.</w:t>
      </w:r>
    </w:p>
    <w:p>
      <w:pPr>
        <w:pStyle w:val="Normal"/>
        <w:widowControl w:val="false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31" w:name="P1240"/>
      <w:bookmarkEnd w:id="31"/>
      <w:r>
        <w:rPr>
          <w:rFonts w:cs="Arial" w:ascii="Arial" w:hAnsi="Arial"/>
          <w:sz w:val="24"/>
          <w:szCs w:val="24"/>
        </w:rPr>
        <w:t>&lt;4&gt; Указываются значения нормативных затрат, используемые при расчете размера субсидии (с учетом коэффициента выравнивания, применяемого при необходимости в соответствии с пунктом 8 настоящего Порядка).".</w:t>
      </w:r>
    </w:p>
    <w:p>
      <w:pPr>
        <w:pStyle w:val="Normal"/>
        <w:widowControl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pBdr>
          <w:bottom w:val="single" w:sz="6" w:space="0" w:color="000000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397" w:right="397" w:gutter="0" w:header="0" w:top="1701" w:footer="0" w:bottom="85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1" w:hanging="75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961" w:hanging="75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25" w:hanging="720"/>
      </w:pPr>
      <w:rPr/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9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9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6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3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3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0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character" w:styleId="Style15" w:customStyle="1">
    <w:name w:val="Гипертекстовая ссылка"/>
    <w:basedOn w:val="DefaultParagraphFont"/>
    <w:qFormat/>
    <w:rsid w:val="005a232c"/>
    <w:rPr>
      <w:color w:val="008000"/>
    </w:rPr>
  </w:style>
  <w:style w:type="paragraph" w:styleId="Style16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8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9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81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12604.6923" TargetMode="External"/><Relationship Id="rId4" Type="http://schemas.openxmlformats.org/officeDocument/2006/relationships/hyperlink" Target="garantf1://12012604.6924" TargetMode="External"/><Relationship Id="rId5" Type="http://schemas.openxmlformats.org/officeDocument/2006/relationships/hyperlink" Target="https://login.consultant.ru/link/?req=doc&amp;base=RLAW123&amp;n=237473&amp;dst=100079" TargetMode="External"/><Relationship Id="rId6" Type="http://schemas.openxmlformats.org/officeDocument/2006/relationships/hyperlink" Target="https://login.consultant.ru/link/?req=doc&amp;base=LAW&amp;n=438641" TargetMode="External"/><Relationship Id="rId7" Type="http://schemas.openxmlformats.org/officeDocument/2006/relationships/hyperlink" Target="https://login.consultant.ru/link/?req=doc&amp;base=RLAW123&amp;n=323631&amp;dst=100086" TargetMode="External"/><Relationship Id="rId8" Type="http://schemas.openxmlformats.org/officeDocument/2006/relationships/hyperlink" Target="https://login.consultant.ru/link/?req=doc&amp;base=RLAW123&amp;n=323631&amp;dst=100635" TargetMode="External"/><Relationship Id="rId9" Type="http://schemas.openxmlformats.org/officeDocument/2006/relationships/hyperlink" Target="https://login.consultant.ru/link/?req=doc&amp;base=RLAW123&amp;n=323631&amp;dst=100087" TargetMode="External"/><Relationship Id="rId10" Type="http://schemas.openxmlformats.org/officeDocument/2006/relationships/hyperlink" Target="https://login.consultant.ru/link/?req=doc&amp;base=RLAW123&amp;n=323631&amp;dst=100088" TargetMode="External"/><Relationship Id="rId11" Type="http://schemas.openxmlformats.org/officeDocument/2006/relationships/hyperlink" Target="https://login.consultant.ru/link/?req=doc&amp;base=RLAW123&amp;n=323631&amp;dst=100087" TargetMode="External"/><Relationship Id="rId12" Type="http://schemas.openxmlformats.org/officeDocument/2006/relationships/hyperlink" Target="https://login.consultant.ru/link/?req=doc&amp;base=RLAW123&amp;n=323631&amp;dst=100088" TargetMode="External"/><Relationship Id="rId13" Type="http://schemas.openxmlformats.org/officeDocument/2006/relationships/hyperlink" Target="https://sharypovo.gosuslugi.ru/" TargetMode="External"/><Relationship Id="rId14" Type="http://schemas.openxmlformats.org/officeDocument/2006/relationships/hyperlink" Target="https://sharypovo.gosuslugi.ru/" TargetMode="External"/><Relationship Id="rId15" Type="http://schemas.openxmlformats.org/officeDocument/2006/relationships/hyperlink" Target="https://login.consultant.ru/link/?req=doc&amp;base=LAW&amp;n=476742&amp;dst=101069" TargetMode="External"/><Relationship Id="rId16" Type="http://schemas.openxmlformats.org/officeDocument/2006/relationships/hyperlink" Target="https://login.consultant.ru/link/?req=doc&amp;base=LAW&amp;n=486289" TargetMode="External"/><Relationship Id="rId17" Type="http://schemas.openxmlformats.org/officeDocument/2006/relationships/hyperlink" Target="https://login.consultant.ru/link/?req=doc&amp;base=LAW&amp;n=486289" TargetMode="External"/><Relationship Id="rId18" Type="http://schemas.openxmlformats.org/officeDocument/2006/relationships/hyperlink" Target="https://login.consultant.ru/link/?req=doc&amp;base=LAW&amp;n=486289" TargetMode="External"/><Relationship Id="rId19" Type="http://schemas.openxmlformats.org/officeDocument/2006/relationships/hyperlink" Target="https://login.consultant.ru/link/?req=doc&amp;base=LAW&amp;n=489268" TargetMode="External"/><Relationship Id="rId20" Type="http://schemas.openxmlformats.org/officeDocument/2006/relationships/hyperlink" Target="https://login.consultant.ru/link/?req=doc&amp;base=LAW&amp;n=489268" TargetMode="External"/><Relationship Id="rId21" Type="http://schemas.openxmlformats.org/officeDocument/2006/relationships/hyperlink" Target="https://login.consultant.ru/link/?req=doc&amp;base=LAW&amp;n=489268" TargetMode="External"/><Relationship Id="rId22" Type="http://schemas.openxmlformats.org/officeDocument/2006/relationships/hyperlink" Target="https://login.consultant.ru/link/?req=doc&amp;base=LAW&amp;n=489268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AB9-C3EB-45F1-B48A-1BFC6B06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Application>LibreOffice/7.6.4.1$Windows_X86_64 LibreOffice_project/e19e193f88cd6c0525a17fb7a176ed8e6a3e2aa1</Application>
  <AppVersion>15.0000</AppVersion>
  <DocSecurity>0</DocSecurity>
  <Pages>18</Pages>
  <Words>3078</Words>
  <Characters>23205</Characters>
  <CharactersWithSpaces>25954</CharactersWithSpaces>
  <Paragraphs>354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2024-01-09T08:38:00Z</cp:lastPrinted>
  <dcterms:modified xsi:type="dcterms:W3CDTF">2024-11-27T09:42:29Z</dcterms:modified>
  <cp:revision>34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