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sz w:val="27"/>
          <w:szCs w:val="27"/>
        </w:rPr>
      </w:pPr>
      <w:r>
        <w:rPr/>
        <w:drawing>
          <wp:inline distT="0" distB="0" distL="0" distR="0">
            <wp:extent cx="485140" cy="7397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82" t="-1551" r="-2282" b="-1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ГОРОДА ШАРЫПОВО КРАСНОЯРСКОГО КРАЯ</w:t>
      </w:r>
    </w:p>
    <w:p>
      <w:pPr>
        <w:pStyle w:val="NoSpacing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Spacing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ПОСТАНОВЛЕНИЕ</w:t>
      </w:r>
    </w:p>
    <w:p>
      <w:pPr>
        <w:pStyle w:val="NoSpacing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Spacing"/>
        <w:tabs>
          <w:tab w:val="clear" w:pos="708"/>
          <w:tab w:val="left" w:pos="426" w:leader="none"/>
          <w:tab w:val="left" w:pos="567" w:leader="none"/>
          <w:tab w:val="left" w:pos="8505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07.02.2024 г.</w:t>
        <w:tab/>
        <w:t>№21</w:t>
      </w:r>
    </w:p>
    <w:p>
      <w:pPr>
        <w:pStyle w:val="NoSpacing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Spacing"/>
        <w:ind w:right="3118" w:hanging="0"/>
        <w:jc w:val="both"/>
        <w:rPr>
          <w:sz w:val="28"/>
          <w:szCs w:val="27"/>
        </w:rPr>
      </w:pPr>
      <w:r>
        <w:rPr>
          <w:sz w:val="28"/>
          <w:szCs w:val="27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>
      <w:pPr>
        <w:pStyle w:val="NoSpacing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Spacing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Рассмотрев заявление ООО «АМК 56» о предоставлении разрешения на отклонение от предельных параметров разрешенного строительства, реконструкции объекта капитального строительства от 08.11.2023 №5410,   рекомендаций Комиссии по подготовки проекта Правил землепользования и застройки городского округа города Шарыпово (протокол №1 от 23.01.2024 г.), в соответствии с Правилами землепользования и застройки городского округа города Шарыпово Красноярского края, утвержденными решением Шарыповского городского Совета депутатов от 28.02.2023 № 33-117,  руководствуясь ст. 8,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Шарыповского городского Совета депутатов Красноярского края от </w:t>
      </w:r>
      <w:r>
        <w:rPr>
          <w:sz w:val="28"/>
        </w:rPr>
        <w:t xml:space="preserve">28.06.2022 №24-86 «Об утверждении Положения об организации и проведении публичных слушаний по проектам в области градостроительной деятельности на территории городского округа города Шарыпово Красноярского края», </w:t>
      </w:r>
      <w:r>
        <w:rPr>
          <w:sz w:val="28"/>
          <w:szCs w:val="27"/>
        </w:rPr>
        <w:t>постановлением Администрации города Шарыпово от 19.09.2022 №290 «</w:t>
      </w:r>
      <w:r>
        <w:rPr>
          <w:color w:val="000000"/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Административного регламента </w:t>
      </w:r>
      <w:r>
        <w:rPr>
          <w:color w:val="000000"/>
          <w:sz w:val="28"/>
          <w:szCs w:val="28"/>
        </w:rPr>
        <w:t>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/>
        <w:t xml:space="preserve">», </w:t>
      </w:r>
      <w:r>
        <w:rPr>
          <w:sz w:val="28"/>
        </w:rPr>
        <w:t>руководствуясь ст. 34 Устава города Шарыпово</w:t>
      </w:r>
    </w:p>
    <w:p>
      <w:pPr>
        <w:pStyle w:val="NoSpacing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>
      <w:pPr>
        <w:pStyle w:val="NoSpacing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 Предоставить ООО «АМК 56» разрешение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максимального процента застройки в границах земельного участка, которая может быть застроена, ко всей площади земельного участка, до 70% на земельном участке с кадастровым номером 24:57:0000038:2794, площадью 566 кв.м., расположенном в территориальной зоне </w:t>
      </w:r>
      <w:r>
        <w:rPr>
          <w:sz w:val="28"/>
        </w:rPr>
        <w:t>Зона застройки среднеэтажными жилыми домами (Ж3)</w:t>
      </w:r>
      <w:r>
        <w:rPr>
          <w:sz w:val="28"/>
          <w:szCs w:val="27"/>
        </w:rPr>
        <w:t>, по адресу: Россия, Красноярский край, городской округ город Шарыпово, город Шарыпово, микрорайон Пионерный, земельный участок 156/2, с целью строительства нежилого здания –магазина.</w:t>
      </w:r>
    </w:p>
    <w:p>
      <w:pPr>
        <w:pStyle w:val="NoSpacing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2. Контроль за исполнением настоящего постановления возложить на первого заместителя Главы города Д. В. Саюшева.</w:t>
      </w:r>
    </w:p>
    <w:p>
      <w:pPr>
        <w:pStyle w:val="NoSpacing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3" w:tgtFrame="https://sharypovo.gosuslugi.ru">
        <w:r>
          <w:rPr>
            <w:rStyle w:val="-"/>
            <w:color w:val="auto"/>
            <w:sz w:val="28"/>
            <w:szCs w:val="27"/>
            <w:u w:val="none"/>
          </w:rPr>
          <w:t>https://sharypovo.gosuslugi.ru</w:t>
        </w:r>
      </w:hyperlink>
      <w:r>
        <w:rPr>
          <w:sz w:val="28"/>
          <w:szCs w:val="27"/>
        </w:rPr>
        <w:t>).</w:t>
      </w:r>
    </w:p>
    <w:p>
      <w:pPr>
        <w:pStyle w:val="NoSpacing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Spacing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Spacing"/>
        <w:tabs>
          <w:tab w:val="clear" w:pos="708"/>
          <w:tab w:val="left" w:pos="7797" w:leader="none"/>
        </w:tabs>
        <w:jc w:val="both"/>
        <w:rPr>
          <w:sz w:val="28"/>
          <w:szCs w:val="27"/>
        </w:rPr>
      </w:pPr>
      <w:r>
        <w:rPr>
          <w:sz w:val="28"/>
          <w:szCs w:val="27"/>
        </w:rPr>
        <w:t>Глава города Шарыпово</w:t>
        <w:tab/>
        <w:t>В. Г. Хохлов</w:t>
      </w:r>
    </w:p>
    <w:p>
      <w:pPr>
        <w:pStyle w:val="NoSpacing"/>
        <w:jc w:val="both"/>
        <w:rPr>
          <w:sz w:val="27"/>
          <w:szCs w:val="27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993" w:footer="0" w:bottom="138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 w:customStyle="1">
    <w:name w:val="Текст концевой сноски Знак"/>
    <w:uiPriority w:val="99"/>
    <w:qFormat/>
    <w:rPr>
      <w:sz w:val="20"/>
    </w:rPr>
  </w:style>
  <w:style w:type="character" w:styleId="Style14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15">
    <w:name w:val="Endnote Reference"/>
    <w:rPr>
      <w:vertAlign w:val="superscript"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yle16" w:customStyle="1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4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Style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Style9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472C4" w:themeColor="accent1"/>
      <w:sz w:val="18"/>
      <w:szCs w:val="18"/>
    </w:rPr>
  </w:style>
  <w:style w:type="paragraph" w:styleId="Style28">
    <w:name w:val="Footnote Text"/>
    <w:basedOn w:val="Normal"/>
    <w:link w:val="Style1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9">
    <w:name w:val="Endnote Text"/>
    <w:basedOn w:val="Normal"/>
    <w:link w:val="Style13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30">
    <w:name w:val="Index Heading"/>
    <w:basedOn w:val="Style18"/>
    <w:pPr/>
    <w:rPr/>
  </w:style>
  <w:style w:type="paragraph" w:styleId="Style31">
    <w:name w:val="TOC Heading"/>
    <w:uiPriority w:val="39"/>
    <w:unhideWhenUsed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Style32">
    <w:name w:val="Body Text Indent"/>
    <w:basedOn w:val="Normal"/>
    <w:link w:val="Style16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37DC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37DC8" w:themeColor="accent1" w:sz="4" w:space="0"/>
          <w:left w:val="single" w:color="537DC8" w:themeColor="accent1" w:sz="4" w:space="0"/>
          <w:bottom w:val="single" w:color="537DC8" w:themeColor="accent1" w:sz="4" w:space="0"/>
          <w:right w:val="single" w:color="537DC8" w:themeColor="accent1" w:sz="4" w:space="0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color="A0B7E1" w:themeColor="accent1" w:sz="12" w:space="0"/>
        </w:tcBorders>
      </w:tcPr>
    </w:tblStylePr>
    <w:tblStylePr w:type="lastRow">
      <w:rPr>
        <w:b/>
        <w:color w:val="A0B7E1" w:themeColor="accent1" w:themeTint="80" w:themeShade="95"/>
      </w:rPr>
      <w:tblPr/>
    </w:tblStylePr>
    <w:tblStylePr w:type="firstCol">
      <w:rPr>
        <w:b/>
        <w:color w:val="A0B7E1" w:themeColor="accent1" w:themeTint="80" w:themeShade="95"/>
      </w:rPr>
      <w:tblPr/>
    </w:tblStylePr>
    <w:tblStylePr w:type="lastCol">
      <w:rPr>
        <w:b/>
        <w:color w:val="A0B7E1" w:themeColor="accent1" w:themeTint="80" w:themeShade="95"/>
      </w:rPr>
      <w:tblPr/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D" w:themeColor="accent5" w:themeShade="95"/>
      </w:rPr>
      <w:tblPr/>
    </w:tblStylePr>
    <w:tblStylePr w:type="firstCol">
      <w:rPr>
        <w:b/>
        <w:color w:val="245A8D" w:themeColor="accent5" w:themeShade="95"/>
      </w:rPr>
      <w:tblPr/>
    </w:tblStylePr>
    <w:tblStylePr w:type="lastCol">
      <w:rPr>
        <w:b/>
        <w:color w:val="245A8D" w:themeColor="accent5" w:themeShade="95"/>
      </w:rPr>
      <w:tblPr/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D" w:themeColor="accent5" w:themeShade="95"/>
      </w:rPr>
      <w:tblPr/>
    </w:tblStylePr>
    <w:tblStylePr w:type="firstCol">
      <w:rPr>
        <w:b/>
        <w:color w:val="245A8D" w:themeColor="accent5" w:themeShade="95"/>
      </w:rPr>
      <w:tblPr/>
    </w:tblStylePr>
    <w:tblStylePr w:type="lastCol">
      <w:rPr>
        <w:b/>
        <w:color w:val="245A8D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0B7E1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color="A0B7E1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sz="4" w:space="0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color="auto" w:sz="0" w:space="0"/>
          <w:left w:val="single" w:color="A0B7E1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2C6E7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color="A2C6E7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sz="4" w:space="0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color="auto" w:sz="0" w:space="0"/>
          <w:left w:val="single" w:color="A2C6E7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C2E5" w:themeColor="accent5" w:sz="4" w:space="0"/>
          <w:right w:val="single" w:color="9BC2E5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C2E5" w:themeColor="accent5" w:sz="4" w:space="0"/>
          <w:bottom w:val="single" w:color="9BC2E5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BC2E5" w:themeColor="accent5" w:sz="32" w:space="0"/>
          <w:bottom w:val="single" w:color="FFFFFF" w:themeColor="light1" w:sz="12" w:space="0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C2E5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5" w:themeColor="accent1" w:themeShade="95"/>
      </w:rPr>
      <w:tblPr/>
    </w:tblStylePr>
    <w:tblStylePr w:type="lastCol">
      <w:rPr>
        <w:b/>
        <w:color w:val="254175" w:themeColor="accent1" w:themeShade="95"/>
      </w:rPr>
      <w:tblPr/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color="9BC2E5" w:themeColor="accent5" w:sz="4" w:space="0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color="9BC2E5" w:themeColor="accent5" w:sz="4" w:space="0"/>
        </w:tcBorders>
      </w:tcPr>
    </w:tblStylePr>
    <w:tblStylePr w:type="firstCol">
      <w:rPr>
        <w:b/>
        <w:color w:val="9BC2E5" w:themeColor="accent5" w:themeTint="9a" w:themeShade="95"/>
      </w:rPr>
      <w:tblPr/>
    </w:tblStylePr>
    <w:tblStylePr w:type="lastCol">
      <w:rPr>
        <w:b/>
        <w:color w:val="9BC2E5" w:themeColor="accent5" w:themeTint="9a" w:themeShade="95"/>
      </w:rPr>
      <w:tblPr/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C2E5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color="9BC2E5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sz="4" w:space="0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color="auto" w:sz="0" w:space="0"/>
          <w:left w:val="single" w:color="9BC2E5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1" w:sz="4" w:space="0"/>
        <w:left w:val="single" w:color="254175" w:themeColor="accent1" w:sz="4" w:space="0"/>
        <w:bottom w:val="single" w:color="254175" w:themeColor="accent1" w:sz="4" w:space="0"/>
        <w:right w:val="single" w:color="254175" w:themeColor="accent1" w:sz="4" w:space="0"/>
        <w:insideH w:val="single" w:color="254175" w:themeColor="accent1" w:sz="4" w:space="0"/>
        <w:insideV w:val="single" w:color="254175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5" w:sz="4" w:space="0"/>
        <w:left w:val="single" w:color="245A8D" w:themeColor="accent5" w:sz="4" w:space="0"/>
        <w:bottom w:val="single" w:color="245A8D" w:themeColor="accent5" w:sz="4" w:space="0"/>
        <w:right w:val="single" w:color="245A8D" w:themeColor="accent5" w:sz="4" w:space="0"/>
        <w:insideH w:val="single" w:color="245A8D" w:themeColor="accent5" w:sz="4" w:space="0"/>
        <w:insideV w:val="single" w:color="245A8D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BC2E5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C2E5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C2E5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LibreOffice/7.5.5.2$Windows_X86_64 LibreOffice_project/ca8fe7424262805f223b9a2334bc7181abbcbf5e</Application>
  <AppVersion>15.0000</AppVersion>
  <Pages>2</Pages>
  <Words>312</Words>
  <Characters>2404</Characters>
  <CharactersWithSpaces>2710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2024-01-16T08:30:00Z</dcterms:created>
  <dc:creator>g26031</dc:creator>
  <dc:description/>
  <dc:language>ru-RU</dc:language>
  <cp:lastModifiedBy>g2604</cp:lastModifiedBy>
  <cp:lastPrinted>2024-02-02T09:44:00Z</cp:lastPrinted>
  <dcterms:modified xsi:type="dcterms:W3CDTF">2024-02-13T09:28:00Z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