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23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lang w:val="en-US"/>
              </w:rPr>
              <w:t>09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cs="Times New Roman" w:ascii="Times New Roman" w:hAnsi="Times New Roman"/>
                <w:lang w:val="en-US"/>
              </w:rPr>
              <w:t>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  <w:lang w:val="en-US"/>
              </w:rPr>
              <w:t>188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102, от 17.05.2024 № 112, от 20.05.2024 № 114, от 22.05.2024 № 116, от 23.05.2024 № 117, от 28.05.2024 № 125, от 31.05.2024 № 127, от 04.06.2024 № 130, 26.06.2024 № 147, от 22.08.2024 № 170)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8.81.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8.81.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2 02 45050 04 0000 150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bookmarkStart w:id="3" w:name="_Hlk168384080"/>
            <w:bookmarkEnd w:id="3"/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8.81-8.99. считать строками 8.82.-8.100.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города Шарыпово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социальным вопросам                                                                        Ю.В. Рудь         </w:t>
      </w:r>
    </w:p>
    <w:p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8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LibreOffice/7.6.4.1$Windows_X86_64 LibreOffice_project/e19e193f88cd6c0525a17fb7a176ed8e6a3e2aa1</Application>
  <AppVersion>15.0000</AppVersion>
  <DocSecurity>0</DocSecurity>
  <Pages>2</Pages>
  <Words>420</Words>
  <Characters>2903</Characters>
  <CharactersWithSpaces>3420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2024-08-20T02:03:00Z</cp:lastPrinted>
  <dcterms:modified xsi:type="dcterms:W3CDTF">2024-09-25T14:11:26Z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