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22.04.2024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№ </w:t>
            </w:r>
            <w:r>
              <w:rPr>
                <w:szCs w:val="28"/>
              </w:rPr>
              <w:t>96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19.02.2024 №35)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10.10.2023 №248; от 10.11.2023 №286, от 19.02.2024 №35) следующие изменения: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«1812842,70; 1325939,27; 172193,11; 187374,14; 152754,94; 17400,00» заменить цифрами «1819995,70; 1326109,27; 179176,11; 194527,14; 152924,94; 24383,00»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bookmarkStart w:id="2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2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«385274,23; 16539,79; 32516,40; 2100,00;» заменить цифрами «385557,23; 16822,79; 32799,40; 2383,00» соответственно.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1.1.2.2.1.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1.4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«400,00; 1200,00» заменить цифрами «683,00; 1483,00»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1.1.2.2.2.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1.10 </w:t>
      </w:r>
      <w:r>
        <w:rPr>
          <w:rFonts w:cs="Times New Roman" w:ascii="Times New Roman" w:hAnsi="Times New Roman"/>
          <w:sz w:val="26"/>
          <w:szCs w:val="26"/>
          <w:lang w:bidi="ru-RU"/>
        </w:rPr>
        <w:t>«Итого по задаче 1» с учетом внесенных изменений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«25384,41; 72282,78» заменить цифрами «25667,41; 72565,78»</w:t>
      </w:r>
      <w:r>
        <w:rPr>
          <w:rFonts w:cs="Times New Roman" w:ascii="Times New Roman" w:hAnsi="Times New Roman"/>
          <w:sz w:val="26"/>
          <w:szCs w:val="26"/>
        </w:rPr>
        <w:t xml:space="preserve">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1.1.2.2.3. </w:t>
      </w:r>
      <w:r>
        <w:rPr>
          <w:sz w:val="26"/>
          <w:szCs w:val="26"/>
          <w:lang w:bidi="ru-RU"/>
        </w:rPr>
        <w:t>в строке 2.9 «ВСЕГО» с учетом внесенных изменений столбцов 8, 11 цифры «32516,40; 90874,87» заменить цифрами «32799,40; 93095,55»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1.1.3.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«665652,29; 383060,18; 134697,59; 60489,37; 40907,95; 12900,00» заменить цифрами «672631,69; 383339,58; 141397,59; 67468,77; 41187,35; 19600,00»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1.1.3.2.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 столбцов 8,11 цифры «19862,33; 60286,99» заменить цифрами «20344,29; 60768,95»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1.1.3.4.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2.5 столбцов 8,11 цифры «9700,00; 29100,00» заменить цифрами «16400,00; 35800,00»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1.1.3.5.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2.10 столбцов 8,11 цифры «800,00; 2012,12» заменить цифрами «415,62; 1627,74» соответственно;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1.1.3.6. дополнить строками следующего содержания: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02"/>
        <w:gridCol w:w="1077"/>
        <w:gridCol w:w="702"/>
        <w:gridCol w:w="697"/>
        <w:gridCol w:w="826"/>
        <w:gridCol w:w="685"/>
        <w:gridCol w:w="666"/>
        <w:gridCol w:w="612"/>
        <w:gridCol w:w="612"/>
        <w:gridCol w:w="666"/>
        <w:gridCol w:w="989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  <w:lang w:bidi="ru-RU"/>
              </w:rPr>
              <w:t>2.20.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031/30,34, 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0801,0412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05200S4720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30,30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30,30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количество посетителей учреждений культурно – досугового типа составит 198,8 тыс. человек</w:t>
            </w:r>
          </w:p>
        </w:tc>
      </w:tr>
    </w:tbl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06"/>
        <w:gridCol w:w="1184"/>
        <w:gridCol w:w="709"/>
        <w:gridCol w:w="638"/>
        <w:gridCol w:w="840"/>
        <w:gridCol w:w="699"/>
        <w:gridCol w:w="845"/>
        <w:gridCol w:w="615"/>
        <w:gridCol w:w="615"/>
        <w:gridCol w:w="677"/>
        <w:gridCol w:w="990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2.21.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Субсидия на поддержку и продвижение событийных мероприятий в рамках подпрограммы "Поддержка искусства и народного творчества"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Отдел культуры администрации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031/30,34,</w:t>
              <w:br/>
              <w:t>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</w:rPr>
              <w:t>0801,0412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052J155582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621,622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151,52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151,52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количество посетителей учреждений культурно – досугового типа составит 198,8 тыс. человек</w:t>
            </w:r>
          </w:p>
        </w:tc>
      </w:tr>
    </w:tbl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1.1.3.7. </w:t>
      </w:r>
      <w:r>
        <w:rPr>
          <w:sz w:val="26"/>
          <w:szCs w:val="26"/>
          <w:lang w:bidi="ru-RU"/>
        </w:rPr>
        <w:t xml:space="preserve"> строку 2.20 «Итого по задаче 2» считать строкой 2.22;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1.1.3.8.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2.22 «Итого по задаче 2»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«33179,78; 95630,62» заменить цифрами «40159,18; 102610,02»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1.1.3.9.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4.3 «Итого»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«60489,37; 175053,68;» заменить цифрами «67468,77; 182033,08»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«756639,66; 671708,49; 93929,77; 83973,07» заменить цифрами «756530,26; 671599,09; 93820,37; 83863,67»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1.1.4.2.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1.1.4.3. </w:t>
      </w:r>
      <w:r>
        <w:rPr>
          <w:bCs/>
          <w:sz w:val="26"/>
          <w:szCs w:val="26"/>
        </w:rPr>
        <w:t xml:space="preserve">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«24822,30; 74466,90» заменить цифрами «24712,90; 74357,50»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1.1.4.4. </w:t>
      </w:r>
      <w:r>
        <w:rPr>
          <w:bCs/>
          <w:sz w:val="26"/>
          <w:szCs w:val="26"/>
        </w:rPr>
        <w:t xml:space="preserve">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«39176,85; 103330,55» заменить цифрами «32076,85; 96230,55»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1.1.4.5. </w:t>
      </w:r>
      <w:r>
        <w:rPr>
          <w:sz w:val="26"/>
          <w:szCs w:val="26"/>
        </w:rPr>
        <w:t>дополнить строкой следующего содержания: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1763"/>
        <w:gridCol w:w="1077"/>
        <w:gridCol w:w="527"/>
        <w:gridCol w:w="682"/>
        <w:gridCol w:w="817"/>
        <w:gridCol w:w="698"/>
        <w:gridCol w:w="699"/>
        <w:gridCol w:w="648"/>
        <w:gridCol w:w="648"/>
        <w:gridCol w:w="699"/>
        <w:gridCol w:w="975"/>
      </w:tblGrid>
      <w:tr>
        <w:trPr/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1.16.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  <w:lang w:bidi="ru-RU"/>
              </w:rPr>
              <w:t>Расходы на капитальный ремонт системы отопления, ХВС и ГВС в рамках подпрограммы "Обеспечение условий реализации программы и прочие мероприятия"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 / 31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0703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0530090270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611,612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7100,00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7100,00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</w:tr>
    </w:tbl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</w:r>
    </w:p>
    <w:p>
      <w:pPr>
        <w:pStyle w:val="Style24"/>
        <w:jc w:val="both"/>
        <w:rPr/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1.1.4.6. строку 1.16 «Итого задача №1» считать строкой 1.17;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1.1.4.7. строку 1.17 «ИТОГО» считать строкой 1.18;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1.1.4.8. в строках 1.17 «Итого задача №1», 1.18 «ИТОГО» с учетом внесенных изменений столбцов 8,11 цифры «93929,77; 252475,91» заменить цифрами «93820,37; 252366,51»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1.1.5.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«187374,14; 521548,54; 183805,11; 512073,71» заменить цифрами «194527,14; 528701,54; 190958,11; 519226,71»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1.1.5.2. 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«32516,40; 92812,55; 32516,40;92812,55» заменить цифрами «32799,40; 93095,55; 32799,40; 93095,55»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1.1.5.3. в строке 3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«60489,37; 175053,68; 57328,94; 166695,25» заменить цифрами «67468,77; 182033,08; 64308,34; 173674,65»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1.1.5.4. 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«93929,77; 252475,91; 93929,77; 252475,91» заменить цифрами «93820,37; 252366,51; 93820,37; 252366,51» соответственно.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1.1.6.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«187374,14; 521548,54;17400,00; 52200,00; 152754,94; 441895,94» заменить цифрами «194527,14; 528701,54; 24383,00; 59183,00; 152924,94; 442065,94»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1.1.6.2. 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«32516,40; 92812,55; 2100,00; 6300,00» заменить цифрами «32799,40; 93095,55; 2383,00; 6583,00»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1.1.6.3. в строке 3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«25384,41; 72282,78; 400,00; 1200,00» заменить цифрами «25667,41; 72565,78; 683,00; 1483,00»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1.1.6.4. в строке 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«60489,37; 175053,68; 12900,00; 38700,00; 40907,95; 120555,66» заменить цифрами «67468,77; 182033,08; 19600,00; 45400,00; 41187,35; 120835,06»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1.1.6.5. в строке 7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«33179,78; 95630,62; 9700,00; 29100,00; 22242,36; 65293,20» заменить цифрами «40159,18; 102610,02; 16400,00; 35800,00; 22521,76; 65572,60»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1.1.6.6.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«93929,77; 252475,91; 83973,07; 237719,21» заменить цифрами «93820,37; 252366,51; 83863,67; 237609,81»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1.1.7. В приложении № 9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1.1.7.1 в строке 16 столбца 5 цифру «13483,50» заменить цифрой «13547,36»;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>1.1.7.2. в строке 18 столбца 5 цифру «5230,03» заменить цифрой «5267,61»;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1.1.7.3. в строке 20 столбца 5 цифру «3123,25» заменить цифрой «3301,21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ind w:firstLine="709" w:right="0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 w:tgtFrame="_blank">
        <w:r>
          <w:rPr>
            <w:rStyle w:val="Hyperlink"/>
            <w:sz w:val="26"/>
            <w:szCs w:val="26"/>
          </w:rPr>
          <w:t>https://sharypovo.gosuslugi.ru</w:t>
        </w:r>
      </w:hyperlink>
      <w:r>
        <w:rPr>
          <w:sz w:val="26"/>
          <w:szCs w:val="26"/>
        </w:rPr>
        <w:t>).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/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Application>LibreOffice/7.6.4.1$Windows_X86_64 LibreOffice_project/e19e193f88cd6c0525a17fb7a176ed8e6a3e2aa1</Application>
  <AppVersion>15.0000</AppVersion>
  <Pages>4</Pages>
  <Words>1036</Words>
  <Characters>7554</Characters>
  <CharactersWithSpaces>8643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2023-09-28T12:00:00Z</dcterms:created>
  <dc:creator>Admin</dc:creator>
  <dc:description/>
  <cp:keywords/>
  <dc:language>ru-RU</dc:language>
  <cp:lastModifiedBy/>
  <cp:lastPrinted>2024-04-17T08:53:00Z</cp:lastPrinted>
  <dcterms:modified xsi:type="dcterms:W3CDTF">2024-04-23T15:25:31Z</dcterms:modified>
  <cp:revision>97</cp:revision>
  <dc:subject/>
  <dc:title>АДМИНИСТРАЦИЯ ГОРОДА ШАРЫПОВО</dc:title>
</cp:coreProperties>
</file>