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jc w:val="right"/>
              <w:rPr/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343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(в ред. от 05.10.2023 № 238)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8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Шарыпово»» (в ред. от 11.10.2022 № 321; от 11.11.2022 №373; от 24.01.2023 № 38; от 18.04.2023 №100; от 24.05.2023 №136, от 06.06.2023 №152; от 05.10.2023 № 238)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1.1.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1.1.,1.2., 1.3., 2.1.,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85"/>
        <w:gridCol w:w="992"/>
        <w:gridCol w:w="1701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sz w:val="14"/>
                <w:szCs w:val="14"/>
              </w:rPr>
              <w:t>Топографическая съемка земельных участков, для благоустройства территорий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68" w:hRule="atLeast"/>
          <w:cantSplit w:val="true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sz w:val="14"/>
                <w:szCs w:val="14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</w:t>
      </w:r>
      <w:r>
        <w:rPr/>
        <w:t>, строки 4,5,9,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442"/>
        <w:gridCol w:w="1309"/>
        <w:gridCol w:w="683"/>
        <w:gridCol w:w="700"/>
        <w:gridCol w:w="916"/>
        <w:gridCol w:w="517"/>
        <w:gridCol w:w="567"/>
        <w:gridCol w:w="567"/>
        <w:gridCol w:w="567"/>
        <w:gridCol w:w="709"/>
        <w:gridCol w:w="992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170;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2024год-49;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2025год-49.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Формирование объектов муниципальной собственности в рамках подпрограммы «Развитие земельно-имущественных отношений»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25</w:t>
            </w:r>
            <w:r>
              <w:rPr>
                <w:sz w:val="14"/>
                <w:szCs w:val="14"/>
              </w:rPr>
              <w:t>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2025год-10</w:t>
            </w:r>
          </w:p>
        </w:tc>
      </w:tr>
      <w:tr>
        <w:trPr/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9" w:right="-122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 в рамках подпрограммы «Развитие земельно-имущественных отношений»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КУМИ Администрации 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1 450,83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90</w:t>
            </w:r>
            <w:r>
              <w:rPr>
                <w:sz w:val="14"/>
                <w:szCs w:val="14"/>
              </w:rPr>
              <w:t>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2024год-110;</w:t>
            </w:r>
          </w:p>
          <w:p>
            <w:pPr>
              <w:pStyle w:val="Normal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>2025год-110.</w:t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Контроль за исполнением настоящего постановления оставляю за собой.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https://sharypovo.gosuslugi.ru.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>
        <w:lang w:val="ru-RU"/>
      </w:rPr>
    </w:pPr>
    <w:r>
      <w:rPr>
        <w:lang w:val="ru-RU"/>
      </w:rPr>
    </w:r>
  </w:p>
  <w:p>
    <w:pPr>
      <w:pStyle w:val="Style27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lang w:val="ru-RU"/>
      </w:rPr>
    </w:pPr>
    <w:r>
      <w:rPr>
        <w:lang w:val="ru-RU"/>
      </w:rPr>
    </w:r>
  </w:p>
  <w:p>
    <w:pPr>
      <w:pStyle w:val="Style26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Заголовок Знак"/>
    <w:qFormat/>
    <w:rPr>
      <w:b/>
      <w:sz w:val="28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sz w:val="28"/>
      <w:szCs w:val="20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9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3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Application>LibreOffice/7.5.5.2$Windows_X86_64 LibreOffice_project/ca8fe7424262805f223b9a2334bc7181abbcbf5e</Application>
  <AppVersion>15.0000</AppVersion>
  <Pages>2</Pages>
  <Words>418</Words>
  <Characters>2973</Characters>
  <CharactersWithSpaces>3429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2023-09-28T14:40:00Z</cp:lastPrinted>
  <dcterms:modified xsi:type="dcterms:W3CDTF">2024-01-09T08:37:33Z</dcterms:modified>
  <cp:revision>74</cp:revision>
  <dc:subject/>
  <dc:title>Приложение 2</dc:title>
</cp:coreProperties>
</file>