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28.11.2023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4959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 утверждении перечня главных администраторов доходов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4"/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Признать утратившим силу постановление Администрации города Шарыпово от 14.12.2022 № 406 «Об утверждении перечня главных администраторов доходов бюджета городского округа город Шарыпово»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6"/>
          <w:szCs w:val="26"/>
        </w:rPr>
        <w:t>, подлежит размещению на официальном сайте муниципального образования города Шарыпово Красноярского края (https://sharypovo.gosuslugi.ru) и  применяется к правоотношениям, возникающим при составлении и исполнении бюджета городского округа города Шарыпово, начиная с бюджета на 2024 год и плановый период 2025–2026 годов.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ab/>
        <w:t xml:space="preserve">                                            В.Г. Хохлов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5" w:name="sub_5"/>
      <w:bookmarkStart w:id="6" w:name="sub_5"/>
      <w:bookmarkEnd w:id="6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к постановлению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ind w:left="340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28.11.2023 г.  № 295</w:t>
      </w:r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главных администраторов доходов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703"/>
        <w:gridCol w:w="2409"/>
        <w:gridCol w:w="10068"/>
      </w:tblGrid>
      <w:tr>
        <w:trPr>
          <w:trHeight w:val="8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главного администратора доходов бюджета городского округа города Шарыпово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вида (подвида) доходов бюджета городского округа города Шарыпово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кода вида (подвида) доходов бюджета городского округа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Администрация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1 08 07150 01 4000 110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1437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988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1408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8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00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2 02 25172 04 0000 150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2 02 25466 04 0000 150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искусства и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2 02 25750 04 0000 150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69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2 02 29999 04 7582 150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2 02 29999 04 7607 150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2 02 30024 04 0289 150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11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64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2 02 30024 04 7429 150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5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2 02 30024 04 7552 150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2 02 30024 04 7570 150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2 02 30024 04 7604 150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2 02 30024 04 7649 150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2 02 30024 04 7846 150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2 02 35118 04 0000 150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2 04 04099 04 0000 150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2 08 10000 04 0000 150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1 11 05034 04 0002 120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1 11 05034 04 0004 120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1 11 05034 04 0006 120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1 11 05074 04 0001 120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аренду муниципального имущества)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9.9.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1 11 09044 04 0001 120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1 11 09044 04 0002 120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найма, найма жилых помещений муниципального жилищного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1 16 07090 04 0001 140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уплату нанимателями денежных средств за наем муниципальных жилых помещений)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1 16 07090 04 0002 140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1 16 07090 04 0003 140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муниципального имущества)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строительства"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1 08 07173 01 4000 110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1 13 01530 04 0000 130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1 16 10082 04 0000 140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1 01 01012 02 1000 110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8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1 01 02030 01 1000 110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1 01 02040 01 1000 110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1 01 02090 01 1000 110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1 01 02130 01 1000 110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1 01 02140 01 1000 110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1 03 02231 01 0000 110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1 05 01010 01 0000 110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1 05 01020 01 0000 110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1 09 04052 04 0000 110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1 09 07032 04 0000 110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1 09 07052 04 0000 110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1 16 10129 01 0000 140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Министерство экологии и рационального природопользования Красноярского края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Служба по ветеринарному надзору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1 16 01203 01 0000 140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1 16 01113 01 0000 140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1 16 01193 01 0000 140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22.7.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1 16 02010 02 0000 140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116 01203 01 0000 140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Title"/>
        <w:numPr>
          <w:ilvl w:val="0"/>
          <w:numId w:val="0"/>
        </w:numPr>
        <w:ind w:firstLine="709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Application>LibreOffice/7.5.5.2$Windows_X86_64 LibreOffice_project/ca8fe7424262805f223b9a2334bc7181abbcbf5e</Application>
  <AppVersion>15.0000</AppVersion>
  <Pages>22</Pages>
  <Words>9225</Words>
  <Characters>63416</Characters>
  <CharactersWithSpaces>71924</CharactersWithSpaces>
  <Paragraphs>1095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2023-11-01T01:27:00Z</cp:lastPrinted>
  <dcterms:modified xsi:type="dcterms:W3CDTF">2023-12-04T14:29:20Z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