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08.08.2023                                                                                                      № 206 </w:t>
      </w:r>
    </w:p>
    <w:p>
      <w:pPr>
        <w:pStyle w:val="Normal"/>
        <w:rPr/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11.07.2023 № 197)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№ 392, от 09.01.2023 № 5, от 18.05.2023 № 131, от 11.07.2023 № 197) следующие изменения и дополнения:</w:t>
      </w:r>
    </w:p>
    <w:p>
      <w:pPr>
        <w:pStyle w:val="NoSpacing"/>
        <w:numPr>
          <w:ilvl w:val="1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Положение об оплате труда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«Бригантина»:</w:t>
      </w:r>
    </w:p>
    <w:p>
      <w:pPr>
        <w:pStyle w:val="NoSpacing"/>
        <w:numPr>
          <w:ilvl w:val="2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Раздел «</w:t>
      </w:r>
      <w:r>
        <w:rPr>
          <w:rFonts w:ascii="Times New Roman" w:hAnsi="Times New Roman"/>
          <w:color w:val="000000"/>
          <w:sz w:val="28"/>
          <w:szCs w:val="28"/>
        </w:rPr>
        <w:t>Профессиональная квалификационная группа «Средний медицинский и фармацевтический персонал»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таблицы 3 пункта 2.5. раздела 2 «Оклады (должностные оклады), ставки заработной платы» </w:t>
      </w:r>
      <w:r>
        <w:rPr>
          <w:rFonts w:ascii="Times New Roman" w:hAnsi="Times New Roman"/>
          <w:color w:val="000000"/>
          <w:sz w:val="28"/>
          <w:szCs w:val="28"/>
        </w:rPr>
        <w:t>дополнить строкой следующего содержания:</w:t>
      </w:r>
    </w:p>
    <w:tbl>
      <w:tblPr>
        <w:tblpPr w:bottomFromText="160" w:horzAnchor="text" w:leftFromText="180" w:rightFromText="180" w:tblpX="0" w:tblpY="1" w:topFromText="0" w:vertAnchor="text"/>
        <w:tblW w:w="9356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59"/>
        <w:gridCol w:w="2496"/>
      </w:tblGrid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4 квалификационный уровень: фельдшер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5504,00</w:t>
            </w:r>
          </w:p>
        </w:tc>
      </w:tr>
    </w:tbl>
    <w:p>
      <w:pPr>
        <w:pStyle w:val="NoSpacing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numPr>
          <w:ilvl w:val="2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«4 квалификационный уровень» раздела «Профессиональная квалификационная группа «Средний медицинский и фармацевтический персонал» таблицы 3 пункта 2.5. раздела 2 «Оклады (должностные оклады), ставки заработной платы» цифру «5504,00» заменить цифрой «5851,00».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Таблицу «</w:t>
      </w:r>
      <w:r>
        <w:rPr>
          <w:rFonts w:eastAsia="Arial Unicode MS" w:ascii="Times New Roman" w:hAnsi="Times New Roman"/>
          <w:color w:val="000000"/>
          <w:sz w:val="28"/>
          <w:szCs w:val="28"/>
          <w:lang w:eastAsia="ru-RU"/>
        </w:rPr>
        <w:t xml:space="preserve">Стимулирующие выплаты (выплаты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для работников Учреждения» приложения 1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 Положению дополнить разделом, согласно приложению к настоящему постановлению.</w:t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ascii="Times New Roman" w:hAnsi="Times New Roman"/>
            <w:sz w:val="28"/>
            <w:szCs w:val="28"/>
            <w:u w:val="single"/>
          </w:rPr>
          <w:t>https://sharypovo-r04.gosweb.gosuslugi.ru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), действие пункта 1.1.1., 1.1.3. распространяется на правоотношения, возникшие с 01 июня 2023 года; действие пункта 1.1.2. распространяется на правоотношения, возникшие с 01 июля 2023 года.</w:t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Глава города Шарыпово</w:t>
        <w:tab/>
        <w:t xml:space="preserve">                                                             В.Г. Хохлов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Шарыпово</w:t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08.08.2023 г. № 206</w:t>
      </w:r>
      <w:bookmarkStart w:id="3" w:name="_GoBack"/>
      <w:bookmarkEnd w:id="3"/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/>
          <w:b/>
          <w:color w:val="000000"/>
          <w:sz w:val="24"/>
          <w:szCs w:val="24"/>
          <w:lang w:eastAsia="ru-RU"/>
        </w:rPr>
      </w:pPr>
      <w:r>
        <w:rPr>
          <w:rFonts w:eastAsia="Arial Unicode MS" w:ascii="Times New Roman" w:hAnsi="Times New Roman"/>
          <w:b/>
          <w:color w:val="000000"/>
          <w:sz w:val="24"/>
          <w:szCs w:val="24"/>
          <w:lang w:eastAsia="ru-RU"/>
        </w:rPr>
        <w:t xml:space="preserve">Стимулирующие выплаты </w:t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jc w:val="center"/>
        <w:rPr>
          <w:rFonts w:ascii="Times New Roman" w:hAnsi="Times New Roman" w:eastAsia="Arial Unicode MS"/>
          <w:b/>
          <w:color w:val="000000"/>
          <w:sz w:val="24"/>
          <w:szCs w:val="24"/>
          <w:lang w:eastAsia="ru-RU"/>
        </w:rPr>
      </w:pPr>
      <w:r>
        <w:rPr>
          <w:rFonts w:eastAsia="Arial Unicode MS" w:ascii="Times New Roman" w:hAnsi="Times New Roman"/>
          <w:b/>
          <w:color w:val="000000"/>
          <w:sz w:val="24"/>
          <w:szCs w:val="24"/>
          <w:lang w:eastAsia="ru-RU"/>
        </w:rPr>
        <w:t xml:space="preserve">(выплаты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для работников </w:t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jc w:val="center"/>
        <w:rPr>
          <w:rFonts w:ascii="Times New Roman" w:hAnsi="Times New Roman" w:eastAsia="Arial Unicode MS"/>
          <w:color w:val="000000"/>
          <w:sz w:val="24"/>
          <w:szCs w:val="24"/>
          <w:lang w:eastAsia="ru-RU"/>
        </w:rPr>
      </w:pPr>
      <w:r>
        <w:rPr>
          <w:rFonts w:eastAsia="Arial Unicode MS" w:ascii="Times New Roman" w:hAnsi="Times New Roman"/>
          <w:b/>
          <w:color w:val="000000"/>
          <w:sz w:val="24"/>
          <w:szCs w:val="24"/>
          <w:lang w:eastAsia="ru-RU"/>
        </w:rPr>
        <w:t>Учреждения</w:t>
      </w:r>
    </w:p>
    <w:tbl>
      <w:tblPr>
        <w:tblW w:w="1503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23"/>
        <w:gridCol w:w="3544"/>
        <w:gridCol w:w="3482"/>
        <w:gridCol w:w="3120"/>
        <w:gridCol w:w="1134"/>
        <w:gridCol w:w="278"/>
        <w:gridCol w:w="1848"/>
      </w:tblGrid>
      <w:tr>
        <w:trPr>
          <w:trHeight w:val="240" w:hRule="atLeast"/>
          <w:cantSplit w:val="true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оценки </w:t>
              <w:br/>
              <w:t xml:space="preserve">результативности </w:t>
              <w:br/>
              <w:t>и качества труда</w:t>
              <w:br/>
              <w:t>работников учреждения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баллов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>
        <w:trPr>
          <w:trHeight w:val="8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41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6" w:hRule="atLeast"/>
          <w:cantSplit w:val="true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Медицинский персонал: врач (педиатр), фельдшер, медицинская сестра      </w:t>
            </w:r>
          </w:p>
        </w:tc>
        <w:tc>
          <w:tcPr>
            <w:tcW w:w="13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1.1. Обеспечение контроля за качеством осмотра детей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1.1.1. Ведение профессиональной документации (журналы, карточки детей и т.д.)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Реализация соответствующего плана работы, наличие профессиональной документации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месяц (смену)/за сезон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месяц (смену)/за сезон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1.2. Своевременное выявление болезни детей и направление их в медицинское учреждение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1.2.1. Отсутствие фактов несвоевременного выявления заболевания у детей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Отсутствие события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смену/за сезон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 Контроль за организацией питания в ДООЛ      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1.3.1. Ведение журналов бракеража готовой продукции, меню-требования, журналов суточных проб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замечаний администрации  </w:t>
              <w:br/>
              <w:t>учреждения, надзорных органов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месяц (смену)/за сезон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Организация         </w:t>
              <w:br/>
              <w:t xml:space="preserve">здоровьесберегающей </w:t>
              <w:br/>
              <w:t xml:space="preserve">среды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2.1.1.Создание безопасных условий пребывания детей в ДООЛ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заболеваний, эпидемий, массовых инфекций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смену/за сезон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2.2. Своевременность оказания медицинской помощи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2.2.1. Оперативное оказание неотложной медицинской помощи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замечаний администрации  </w:t>
              <w:br/>
              <w:t>учреждения,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смену/за сезон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 Эффективность работы</w:t>
              <w:br/>
              <w:t xml:space="preserve">с родителями       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2.3.1. Отсутствие обоснованных</w:t>
              <w:br/>
              <w:t xml:space="preserve">обращений родителей </w:t>
              <w:br/>
              <w:t>по поводу конфликтных ситуаций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 обоснованных обращений родителей по поводу конфликтных ситуаций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смену/за сезон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Высокий уровень     </w:t>
              <w:br/>
              <w:t xml:space="preserve">осуществления медицинской деятельности           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3.1.1. Отсутствие замечаний надзорных органов, администрации ДООЛ      </w:t>
              <w:b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замечаний      </w:t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смену/за сезон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3.2. Качество оказания медицинских услуг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3.2.1. Отсутствие жалоб детей, родителей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Отсутствие жалоб детей,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смену/за сезон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3.3.Своевременный контроль качественного санитарно-гигиенического состояния корпусов, отрядных помещений, пищеблока, санитарного блока, медицинского пункта ДООЛ в соответствии с нормами СанПин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3.3.1. Отсутствие замечаний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смену/за сезон</w:t>
            </w:r>
          </w:p>
        </w:tc>
      </w:tr>
      <w:tr>
        <w:trPr>
          <w:trHeight w:val="240" w:hRule="atLeast"/>
          <w:cantSplit w:val="true"/>
        </w:trPr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3.4. Проведение санитарно-просветительских мероприятий (беседы, лекции, презентации и т.д.)  среди воспитанников и персонала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3.4.1. Мероприятие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По факту (за каждое санитарно-просветительское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lang w:eastAsia="ru-RU"/>
              </w:rPr>
              <w:t>За смену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135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Calibri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95" w:hanging="133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695" w:hanging="133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95" w:hanging="1335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95" w:hanging="1335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95" w:hanging="133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95" w:hanging="133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695" w:hanging="133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95" w:hanging="1335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95" w:hanging="1335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95" w:hanging="133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4e52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e0728"/>
    <w:rPr>
      <w:rFonts w:ascii="Segoe UI" w:hAnsi="Segoe UI" w:eastAsia="Calibr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74e5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74e5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e072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Application>LibreOffice/7.5.1.2$Windows_X86_64 LibreOffice_project/fcbaee479e84c6cd81291587d2ee68cba099e129</Application>
  <AppVersion>15.0000</AppVersion>
  <DocSecurity>0</DocSecurity>
  <Pages>4</Pages>
  <Words>686</Words>
  <Characters>5190</Characters>
  <CharactersWithSpaces>6102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2023-07-12T09:17:00Z</dcterms:created>
  <dc:creator>Пользователь Windows</dc:creator>
  <dc:description/>
  <dc:language>ru-RU</dc:language>
  <cp:lastModifiedBy/>
  <cp:lastPrinted>2023-07-21T08:55:00Z</cp:lastPrinted>
  <dcterms:modified xsi:type="dcterms:W3CDTF">2023-08-10T11:41:26Z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