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04.10.2018      </w:t>
        <w:tab/>
        <w:tab/>
        <w:t xml:space="preserve">                                                                                № 230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/>
          </w:tcPr>
          <w:tbl>
            <w:tblPr>
              <w:tblW w:w="1312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4"/>
              <w:gridCol w:w="3771"/>
            </w:tblGrid>
            <w:tr>
              <w:trPr/>
              <w:tc>
                <w:tcPr>
                  <w:tcW w:w="9354" w:type="dxa"/>
                  <w:tcBorders/>
                </w:tcPr>
                <w:p>
                  <w:pPr>
                    <w:pStyle w:val="Normal"/>
                    <w:jc w:val="both"/>
                    <w:rPr/>
                  </w:pPr>
                  <w:r>
                    <w:rPr>
                      <w:sz w:val="24"/>
                      <w:szCs w:val="24"/>
                    </w:rPr>
                    <w:t>О внесении изменений в постановление Администрации города Шарыпово от 22.04.2011 № 83 «Об утверждении административного регламента по предоставлению услуги «Предоставление информации об образовательных программах и учебных планах, реализуемых муниципальными бюджетными образовательными учреждениями дополнительного образования детей в области культуры в детских школах искусств, подведомственных отделу культуры Администрации города Шарыпово» (в редакции от 14.07.2011 № 149, от 13.06.2012 № 93)</w:t>
                  </w:r>
                </w:p>
              </w:tc>
              <w:tc>
                <w:tcPr>
                  <w:tcW w:w="3771" w:type="dxa"/>
                  <w:tcBorders/>
                </w:tcPr>
                <w:p>
                  <w:pPr>
                    <w:pStyle w:val="Normal"/>
                    <w:snapToGrid w:val="false"/>
                    <w:ind w:right="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8" w:right="26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24.11.1995 № 181-ФЗ «О социальной защите инвалидов в Российской Федерации»,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34 Устава города Шарыпово,</w:t>
      </w:r>
    </w:p>
    <w:p>
      <w:pPr>
        <w:pStyle w:val="Normal"/>
        <w:shd w:fill="FFFFFF" w:val="clear"/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22.04.2011 № 84 «Об утверждении административного регламента по предоставлению услуги «Предоставление информации об образовательных программах и учебных планах, реализуемых муниципальными бюджетными образовательными учреждениями дополнительного образования детей в области культуры в детских школах искусств, подведомственных отделу культуры Администрации города Шарыпово» следующие изменения: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1.1. В наименовании, по тексту постановления и приложения к нему слова «муниципальное бюджетное образовательное учреждение дополнительного образования детей» заменить словами «муниципальное бюджетное учреждение дополнительного образования» в нужных падеже и числе;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1.2. По тексту приложения слово «Получатель» заменить словом «Заявитель» в нужном падеже;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1.3. В разделе 1 «Общие положения» приложения к постановлению: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1.3.1. Пункт 1.1 изложить в новой редакции: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«1.1. Административный регламент (далее по тексту – Регламент) по предоставлению услуги «Предоставление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 в детских школах искусств, подведомственных Отделу культуры администрации города Шарыпово» (далее по тексту – услуга), разработан в целях повышения качества исполнения и доступности предоставления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 в детских школах искусств, подведомственных Отделу культуры администрации города Шарыпово, и определяет сроки, требования и последовательность действий (административных процедур), а также порядок взаимодействия Отдела культуры администрации города Шарыпово, муниципальных бюджетных учреждений дополнительного образования в области культуры с заявителями при предоставлении услуги.»;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1.3.2. В пункте 1.3: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- в подпункте 1.3.1 после слов «Детской школой искусств п.Дубинино» дополнить словами «(далее по тексту – Учреждение)»;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в таблице подпункта 1.3.4 слова «МБОУ ДОД», «i-mail» заменить словами «МБУДО», «е-mail» соответственно, цифры «662320» заменить цифрами «662315»;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- подпункт 1.3.5 дополнить строкой следующего содержания:</w:t>
      </w:r>
    </w:p>
    <w:p>
      <w:pPr>
        <w:pStyle w:val="Normal"/>
        <w:widowControl/>
        <w:autoSpaceDE w:val="true"/>
        <w:ind w:left="72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- на официальных сайтах Учреждений: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ДШИ п. Дубинино - </w:t>
      </w:r>
      <w:hyperlink r:id="rId2">
        <w:r>
          <w:rPr>
            <w:rStyle w:val="Hyperlink"/>
            <w:sz w:val="24"/>
            <w:szCs w:val="24"/>
          </w:rPr>
          <w:t>www.artsdubinino.ru</w:t>
        </w:r>
      </w:hyperlink>
      <w:r>
        <w:rPr>
          <w:sz w:val="24"/>
          <w:szCs w:val="24"/>
        </w:rPr>
        <w:t>, раздел «Сведения об образовательной организации»;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ДШИ г. Шарыпово - </w:t>
      </w:r>
      <w:hyperlink r:id="rId3">
        <w:r>
          <w:rPr>
            <w:rStyle w:val="Hyperlink"/>
            <w:sz w:val="24"/>
            <w:szCs w:val="24"/>
          </w:rPr>
          <w:t>www.arts24.ru</w:t>
        </w:r>
      </w:hyperlink>
      <w:r>
        <w:rPr>
          <w:sz w:val="24"/>
          <w:szCs w:val="24"/>
        </w:rPr>
        <w:t>, раздел «Сведения об образовательной организации»;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1.3.3. Пункт 1.4 изложить в новой редакции: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«1.4. Описание результатов исполнения функции.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Конечным результатом предоставления услуги является предоставление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 в детских школах искусств, подведомственных Отделу культуры администрации города Шарыпово, или уведомление об отказе в предоставлении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 в детских школах искусств, подведомственных Отделу культуры администрации города Шарыпово.»;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1.4. В разделе 2 «Стандарт предоставления услуги» приложения к постановлению: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1.4.1. Пункт 2.4 изложить в новой редакции:</w:t>
      </w:r>
    </w:p>
    <w:p>
      <w:pPr>
        <w:pStyle w:val="Normal"/>
        <w:tabs>
          <w:tab w:val="clear" w:pos="708"/>
          <w:tab w:val="center" w:pos="993" w:leader="none"/>
        </w:tabs>
        <w:ind w:firstLine="709" w:right="0"/>
        <w:jc w:val="both"/>
        <w:rPr/>
      </w:pPr>
      <w:r>
        <w:rPr>
          <w:sz w:val="24"/>
          <w:szCs w:val="24"/>
        </w:rPr>
        <w:t>«2.4. Исчерпывающий перечень оснований для отказа в приеме документов, необходимых для предоставления услуги.</w:t>
      </w:r>
    </w:p>
    <w:p>
      <w:pPr>
        <w:pStyle w:val="Normal"/>
        <w:tabs>
          <w:tab w:val="clear" w:pos="708"/>
          <w:tab w:val="center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оснований для отказа в приеме документов, необходимых для предоставления услуги:</w:t>
      </w:r>
    </w:p>
    <w:p>
      <w:pPr>
        <w:pStyle w:val="Normal"/>
        <w:tabs>
          <w:tab w:val="clear" w:pos="708"/>
          <w:tab w:val="center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1) Предоставление заявителем документов, не соответствующих требованиям законодательства (наличие исправлений, серьезных повреждений, не позволяющих однозначно истолковать их содержание, отсутствие обратного адреса, отсутствие фамилии, имени, отчества заявителя, отсутствие подписи);</w:t>
      </w:r>
    </w:p>
    <w:p>
      <w:pPr>
        <w:pStyle w:val="Normal"/>
        <w:tabs>
          <w:tab w:val="clear" w:pos="708"/>
          <w:tab w:val="center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2) Злоупотребление гражданином предоставленным законом правом на обращение и употребившим в содержании обращения нецензурные или оскорбительные выражения;</w:t>
      </w:r>
    </w:p>
    <w:p>
      <w:pPr>
        <w:pStyle w:val="Normal"/>
        <w:tabs>
          <w:tab w:val="clear" w:pos="708"/>
          <w:tab w:val="center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3) Текст письменного обращения не поддается прочтению (о чем сообщается заявителю, направившему обращение (заявление), если его фамилия и почтовый адрес поддаются прочтению).</w:t>
      </w:r>
    </w:p>
    <w:p>
      <w:pPr>
        <w:pStyle w:val="Normal"/>
        <w:shd w:fill="F9FAFB" w:val="clear"/>
        <w:tabs>
          <w:tab w:val="clear" w:pos="708"/>
          <w:tab w:val="center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2.4.1. Исчерпывающий перечень оснований для отказа в предоставлении услуги.</w:t>
      </w:r>
    </w:p>
    <w:p>
      <w:pPr>
        <w:pStyle w:val="Style19"/>
        <w:numPr>
          <w:ilvl w:val="0"/>
          <w:numId w:val="2"/>
        </w:numPr>
        <w:shd w:fill="F9FAFB" w:val="clear"/>
        <w:tabs>
          <w:tab w:val="clear" w:pos="708"/>
          <w:tab w:val="center" w:pos="993" w:leader="none"/>
        </w:tabs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Запрашиваемая Заявителем информация не относится к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Учреждений.</w:t>
      </w:r>
    </w:p>
    <w:p>
      <w:pPr>
        <w:pStyle w:val="Normal"/>
        <w:tabs>
          <w:tab w:val="clear" w:pos="708"/>
          <w:tab w:val="center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Отказ в предоставлении услуги по иным основаниям не допускается.</w:t>
      </w:r>
    </w:p>
    <w:p>
      <w:pPr>
        <w:pStyle w:val="Normal"/>
        <w:tabs>
          <w:tab w:val="clear" w:pos="708"/>
          <w:tab w:val="center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2.4.2. Основанием для приостановления предоставления услуги является несоответствие обращения содержанию услуги.»;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1.4.2. Пункт 2.6 изложить в новой редакции:</w:t>
      </w:r>
    </w:p>
    <w:p>
      <w:pPr>
        <w:pStyle w:val="Normal"/>
        <w:shd w:fill="F9FAFB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«2.6. 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>
      <w:pPr>
        <w:pStyle w:val="Normal"/>
        <w:shd w:fill="F9FAFB" w:val="clear"/>
        <w:ind w:firstLine="709" w:right="0"/>
        <w:jc w:val="both"/>
        <w:rPr/>
      </w:pPr>
      <w:r>
        <w:rPr>
          <w:sz w:val="24"/>
          <w:szCs w:val="24"/>
        </w:rPr>
        <w:t>Время ожидания в очереди при подаче запроса о предоставлении услуги, при получении документов, консультаций по вопросам оказания услуги, информации о процедуре предоставления услуги при личном обращении заявителей не должно превышать 15 минут.</w:t>
      </w:r>
    </w:p>
    <w:p>
      <w:pPr>
        <w:pStyle w:val="Normal"/>
        <w:shd w:fill="F9FAFB" w:val="clear"/>
        <w:ind w:firstLine="709" w:right="0"/>
        <w:jc w:val="both"/>
        <w:rPr/>
      </w:pPr>
      <w:r>
        <w:rPr>
          <w:sz w:val="24"/>
          <w:szCs w:val="24"/>
        </w:rPr>
        <w:t>Продолжительность приема гражданина сотрудником Учреждения, осуществляющего прием документов, при подаче документов для получения услуги не должна превышать 15 минут.</w:t>
      </w:r>
    </w:p>
    <w:p>
      <w:pPr>
        <w:pStyle w:val="Normal"/>
        <w:shd w:fill="F9FAFB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сроке завершения оформления документов и возможности их получения сообщается заявителю при подаче документов и при возобновлении предоставления услуги после ее приостановления, а в случае сокращения срока - по указанному в заявлении телефону и (или) электронной почте.</w:t>
      </w:r>
    </w:p>
    <w:p>
      <w:pPr>
        <w:pStyle w:val="Normal"/>
        <w:shd w:fill="F9FAFB" w:val="clear"/>
        <w:ind w:firstLine="709" w:right="0"/>
        <w:jc w:val="both"/>
        <w:rPr/>
      </w:pPr>
      <w:r>
        <w:rPr>
          <w:sz w:val="24"/>
          <w:szCs w:val="24"/>
        </w:rPr>
        <w:t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телефона, средств Интернета, электронной почты или посредством личного посещения Отдела культуры администрации города Шарыпово, Учреждения.</w:t>
      </w:r>
    </w:p>
    <w:p>
      <w:pPr>
        <w:pStyle w:val="Normal"/>
        <w:shd w:fill="F9FAFB" w:val="clear"/>
        <w:ind w:firstLine="851" w:right="0"/>
        <w:jc w:val="both"/>
        <w:rPr>
          <w:sz w:val="24"/>
          <w:szCs w:val="24"/>
        </w:rPr>
      </w:pPr>
      <w:r>
        <w:rPr>
          <w:sz w:val="24"/>
          <w:szCs w:val="24"/>
        </w:rPr>
        <w:t>2.6.1. Срок и порядок регистрации запроса заявителя о предоставлении услуги.</w:t>
      </w:r>
    </w:p>
    <w:p>
      <w:pPr>
        <w:pStyle w:val="Normal"/>
        <w:shd w:fill="F9FAFB" w:val="clear"/>
        <w:ind w:firstLine="567" w:right="0"/>
        <w:jc w:val="both"/>
        <w:rPr/>
      </w:pPr>
      <w:r>
        <w:rPr>
          <w:sz w:val="24"/>
          <w:szCs w:val="24"/>
        </w:rPr>
        <w:t>Регистрация запроса заявителя о предоставлении услуги осуществляется в день обращения. Специалист Учреждения проводит первичную проверку представленного заявления и необходимых документов, вносит в установленном порядке в журнал регистрации запись о приеме заявления.</w:t>
      </w:r>
    </w:p>
    <w:p>
      <w:pPr>
        <w:pStyle w:val="Normal"/>
        <w:shd w:fill="F9FAFB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время регистрации запроса заявителя о предоставлении услуги не должно превышать 15 минут.»;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1.4.3. Пункт 2.7 дополнить подпунктами 2.7.3-2.7.5 следующего содержания:</w:t>
      </w:r>
    </w:p>
    <w:p>
      <w:pPr>
        <w:pStyle w:val="Normal"/>
        <w:tabs>
          <w:tab w:val="clear" w:pos="708"/>
          <w:tab w:val="center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«2.7.3. Для приема граждан, обратившихся за получением услуги, выделяются отдельные помещения.</w:t>
      </w:r>
    </w:p>
    <w:p>
      <w:pPr>
        <w:pStyle w:val="Normal"/>
        <w:tabs>
          <w:tab w:val="clear" w:pos="708"/>
          <w:tab w:val="center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2.7.4.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входа в объекты и выхода из них;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center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допуск на объект сурдопереводчика, тифлосурдопереводчика;</w:t>
      </w:r>
    </w:p>
    <w:p>
      <w:pPr>
        <w:pStyle w:val="Normal"/>
        <w:tabs>
          <w:tab w:val="clear" w:pos="708"/>
          <w:tab w:val="center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2.7.5.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tabs>
          <w:tab w:val="clear" w:pos="708"/>
          <w:tab w:val="center" w:pos="993" w:leader="none"/>
        </w:tabs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Normal"/>
        <w:tabs>
          <w:tab w:val="clear" w:pos="708"/>
          <w:tab w:val="center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при наличии возможности обеспечить предоставление услуги по месту жительства инвалида или в дистанционном режиме.»;</w:t>
      </w:r>
    </w:p>
    <w:p>
      <w:pPr>
        <w:pStyle w:val="Style19"/>
        <w:widowControl/>
        <w:tabs>
          <w:tab w:val="clear" w:pos="708"/>
          <w:tab w:val="center" w:pos="993" w:leader="none"/>
        </w:tabs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1.5. Раздел 3 «Состав, последовательность и сроки выполнения административных процедур, требования к порядку их выполнения» приложения к постановлению дополнить пунктом 3.12 следующего содержания:</w:t>
      </w:r>
    </w:p>
    <w:p>
      <w:pPr>
        <w:pStyle w:val="Style19"/>
        <w:widowControl/>
        <w:tabs>
          <w:tab w:val="clear" w:pos="708"/>
          <w:tab w:val="center" w:pos="993" w:leader="none"/>
        </w:tabs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«3.12. При поступлении обращения заявителя в электронном виде с указанием адреса электронной почты и/или почтового адреса пользователя, должностное лицо, ответственное за прием и отправку документов по электронной почте, распечатывает указанное обращение и передает его в день поступления другому должностному лицу, ответственному за регистрацию поступающих документов, для его регистрации в установленном порядке.»;</w:t>
      </w:r>
    </w:p>
    <w:p>
      <w:pPr>
        <w:pStyle w:val="Style19"/>
        <w:widowControl/>
        <w:tabs>
          <w:tab w:val="clear" w:pos="708"/>
          <w:tab w:val="center" w:pos="993" w:leader="none"/>
        </w:tabs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1.6. Пункт 5.1 раздела 5 «Досудебный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служащих» приложения к постановлению дополнить подпунктом 5.1.1 следующего содержания:</w:t>
      </w:r>
    </w:p>
    <w:p>
      <w:pPr>
        <w:pStyle w:val="Style18"/>
        <w:tabs>
          <w:tab w:val="clear" w:pos="708"/>
          <w:tab w:val="center" w:pos="993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«5.1.1. Заявитель может обратиться с жалобой, в том числе в следующих случаях: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регламентом.»;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1.7. В таблице приложения № 1 приложения к постановлению слова «МБОУ ДОД» заменить словом «МБУДО», цифры «662320» заменить цифрами «662315».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>2. Контроль за исполнением постановления возложить на начальника Отдела культуры администрации города Шарыпово С.Н. Гроза.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(www.gorodsharypovo.ru), и применяется к правоотношениям, возникшим с 01.01.2018.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города Шарыпово                                                                                    Н.А. Петровская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ind w:firstLine="540" w:left="0" w:right="0"/>
      <w:jc w:val="both"/>
      <w:outlineLvl w:val="0"/>
    </w:pPr>
    <w:rPr>
      <w:b/>
      <w:bCs/>
      <w:sz w:val="24"/>
      <w:szCs w:val="24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  <w:color w:val="000000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ConsPlusNormal">
    <w:name w:val="ConsPlusNormal Знак"/>
    <w:qFormat/>
    <w:rPr>
      <w:rFonts w:ascii="Arial" w:hAnsi="Arial" w:cs="Times New Roman"/>
      <w:sz w:val="22"/>
      <w:lang w:bidi="ar-SA"/>
    </w:rPr>
  </w:style>
  <w:style w:type="character" w:styleId="Style14">
    <w:name w:val="Основной текст Знак"/>
    <w:basedOn w:val="Style13"/>
    <w:qFormat/>
    <w:rPr>
      <w:rFonts w:ascii="Times New Roman" w:hAnsi="Times New Roman" w:cs="Times New Roman"/>
      <w:sz w:val="28"/>
      <w:lang w:val="ru-RU" w:bidi="ar-SA"/>
    </w:rPr>
  </w:style>
  <w:style w:type="character" w:styleId="Text1">
    <w:name w:val="text1"/>
    <w:qFormat/>
    <w:rPr>
      <w:rFonts w:ascii="Verdana" w:hAnsi="Verdana" w:cs="Verdana"/>
      <w:sz w:val="24"/>
    </w:rPr>
  </w:style>
  <w:style w:type="character" w:styleId="Apple-converted-space">
    <w:name w:val="apple-converted-space"/>
    <w:basedOn w:val="Style13"/>
    <w:qFormat/>
    <w:rPr>
      <w:rFonts w:cs="Times New Roman"/>
    </w:rPr>
  </w:style>
  <w:style w:type="character" w:styleId="Hyperlink">
    <w:name w:val="Hyperlink"/>
    <w:basedOn w:val="Style13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autoSpaceDE w:val="true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Times New Roman"/>
      <w:color w:val="auto"/>
      <w:sz w:val="22"/>
      <w:szCs w:val="20"/>
      <w:lang w:bidi="ar-SA" w:val="ru-RU" w:eastAsia="zh-CN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19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  <w:suppressAutoHyphens w:val="true"/>
      <w:autoSpaceDE w:val="true"/>
    </w:pPr>
    <w:rPr>
      <w:rFonts w:ascii="Arial" w:hAnsi="Arial" w:cs="Tahoma"/>
      <w:sz w:val="24"/>
      <w:szCs w:val="24"/>
    </w:rPr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rtsdubinino.ru/" TargetMode="External"/><Relationship Id="rId3" Type="http://schemas.openxmlformats.org/officeDocument/2006/relationships/hyperlink" Target="http://www.arts24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4</Pages>
  <Words>1625</Words>
  <Characters>12152</Characters>
  <CharactersWithSpaces>13867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2018-09-12T14:20:00Z</dcterms:created>
  <dc:creator>Admin</dc:creator>
  <dc:description/>
  <cp:keywords/>
  <dc:language>ru-RU</dc:language>
  <cp:lastModifiedBy>User</cp:lastModifiedBy>
  <cp:lastPrinted>2018-08-15T15:29:00Z</cp:lastPrinted>
  <dcterms:modified xsi:type="dcterms:W3CDTF">2018-10-05T11:22:00Z</dcterms:modified>
  <cp:revision>3</cp:revision>
  <dc:subject/>
  <dc:title/>
</cp:coreProperties>
</file>