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ind w:firstLine="720" w:left="0" w:right="0"/>
        <w:rPr>
          <w:b/>
          <w:i/>
          <w:i/>
        </w:rPr>
      </w:pPr>
      <w:r>
        <w:rPr>
          <w:b/>
          <w:i/>
        </w:rPr>
        <w:t xml:space="preserve">          </w:t>
      </w:r>
    </w:p>
    <w:p>
      <w:pPr>
        <w:pStyle w:val="Normal"/>
        <w:rPr/>
      </w:pPr>
      <w:r>
        <w:rPr>
          <w:b/>
          <w:iCs/>
        </w:rPr>
        <w:t>12.08.2021</w:t>
      </w:r>
      <w:r>
        <w:rPr>
          <w:b/>
          <w:i/>
        </w:rPr>
        <w:tab/>
        <w:tab/>
      </w:r>
      <w:r>
        <w:rPr>
          <w:b/>
        </w:rPr>
        <w:t xml:space="preserve">                                                                                                        №162</w:t>
      </w:r>
    </w:p>
    <w:p>
      <w:pPr>
        <w:pStyle w:val="Style20"/>
        <w:tabs>
          <w:tab w:val="left" w:pos="5040" w:leader="none"/>
          <w:tab w:val="left" w:pos="10440" w:leader="none"/>
        </w:tabs>
        <w:ind w:hanging="0" w:left="0" w:right="3955"/>
        <w:rPr>
          <w:b/>
        </w:rPr>
      </w:pPr>
      <w:r>
        <w:rPr>
          <w:b/>
        </w:rPr>
      </w:r>
    </w:p>
    <w:p>
      <w:pPr>
        <w:pStyle w:val="Style20"/>
        <w:tabs>
          <w:tab w:val="left" w:pos="5040" w:leader="none"/>
          <w:tab w:val="left" w:pos="10440" w:leader="none"/>
        </w:tabs>
        <w:ind w:hanging="0" w:left="0" w:right="3955"/>
        <w:rPr>
          <w:sz w:val="28"/>
          <w:szCs w:val="28"/>
        </w:rPr>
      </w:pPr>
      <w:r>
        <w:rPr>
          <w:sz w:val="28"/>
          <w:szCs w:val="28"/>
        </w:rPr>
        <w:t>Об одобрении прогноза социально-экономического развития муниципального образования город Шарыпово на 2022 год и на плановый  период 2023 и 2024 годов</w:t>
      </w:r>
    </w:p>
    <w:p>
      <w:pPr>
        <w:pStyle w:val="Style20"/>
        <w:tabs>
          <w:tab w:val="left" w:pos="5040" w:leader="none"/>
          <w:tab w:val="left" w:pos="10440" w:leader="none"/>
        </w:tabs>
        <w:ind w:hanging="0" w:left="0" w:right="3955"/>
        <w:rPr>
          <w:b/>
          <w:sz w:val="24"/>
          <w:szCs w:val="28"/>
        </w:rPr>
      </w:pPr>
      <w:r>
        <w:rPr>
          <w:b/>
          <w:sz w:val="24"/>
          <w:szCs w:val="28"/>
        </w:rPr>
      </w:r>
    </w:p>
    <w:p>
      <w:pPr>
        <w:pStyle w:val="Normal"/>
        <w:shd w:val="clear" w:fill="FFFFFF"/>
        <w:spacing w:lineRule="atLeast" w:line="285"/>
        <w:textAlignment w:val="baseline"/>
        <w:rPr>
          <w:rFonts w:ascii="Arial" w:hAnsi="Arial" w:cs="Arial"/>
          <w:b/>
          <w:color w:val="2D2D2D"/>
          <w:spacing w:val="2"/>
          <w:sz w:val="19"/>
          <w:szCs w:val="19"/>
        </w:rPr>
      </w:pPr>
      <w:r>
        <w:rPr>
          <w:rFonts w:cs="Arial" w:ascii="Arial" w:hAnsi="Arial"/>
          <w:b/>
          <w:color w:val="2D2D2D"/>
          <w:spacing w:val="2"/>
          <w:sz w:val="19"/>
          <w:szCs w:val="19"/>
        </w:rPr>
      </w:r>
    </w:p>
    <w:p>
      <w:pPr>
        <w:pStyle w:val="Style21"/>
        <w:ind w:firstLine="708" w:left="0" w:right="0"/>
        <w:rPr/>
      </w:pPr>
      <w:r>
        <w:rPr>
          <w:spacing w:val="2"/>
          <w:sz w:val="28"/>
          <w:szCs w:val="28"/>
        </w:rPr>
        <w:t>В целях своевременного и качественного составления проекта бюджета городского округа города Шарыпово на 2022 год и плановый период 2023 и 2024 годов и плана социально-экономического развития муниципального образования города Шарыпово на 2022 год и плановый период 2023 и 2024 годов, в соответствии с Бюджетным кодексом Российской Федерации, руководствуясь ст. 34 Устава г. Шарыпово, ПОСТАНОВЛЯЮ</w:t>
      </w:r>
      <w:r>
        <w:rPr>
          <w:sz w:val="28"/>
          <w:szCs w:val="28"/>
        </w:rPr>
        <w:t>:</w:t>
      </w:r>
    </w:p>
    <w:p>
      <w:pPr>
        <w:pStyle w:val="Style19"/>
        <w:numPr>
          <w:ilvl w:val="0"/>
          <w:numId w:val="2"/>
        </w:numPr>
        <w:tabs>
          <w:tab w:val="clear" w:pos="708"/>
          <w:tab w:val="left" w:pos="851" w:leader="none"/>
        </w:tabs>
        <w:spacing w:before="0" w:after="0"/>
        <w:ind w:firstLine="567" w:left="0" w:right="0"/>
        <w:rPr/>
      </w:pPr>
      <w:r>
        <w:rPr>
          <w:sz w:val="28"/>
          <w:szCs w:val="28"/>
        </w:rPr>
        <w:t>Одобрить прогноз социально-экономического развития муниципального образования город Шарыпово на 2022 год и плановый период 2023 и 2024 годов (приложение к Постановлению)</w:t>
      </w:r>
    </w:p>
    <w:p>
      <w:pPr>
        <w:pStyle w:val="Style19"/>
        <w:numPr>
          <w:ilvl w:val="0"/>
          <w:numId w:val="2"/>
        </w:numPr>
        <w:tabs>
          <w:tab w:val="clear" w:pos="708"/>
          <w:tab w:val="left" w:pos="851" w:leader="none"/>
        </w:tabs>
        <w:spacing w:before="0" w:after="0"/>
        <w:ind w:firstLine="567" w:left="0" w:right="0"/>
        <w:rPr/>
      </w:pP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>
      <w:pPr>
        <w:pStyle w:val="Style19"/>
        <w:numPr>
          <w:ilvl w:val="0"/>
          <w:numId w:val="2"/>
        </w:numPr>
        <w:tabs>
          <w:tab w:val="clear" w:pos="708"/>
          <w:tab w:val="left" w:pos="851" w:leader="none"/>
        </w:tabs>
        <w:spacing w:before="0" w:after="0"/>
        <w:ind w:firstLine="567" w:left="0" w:right="0"/>
        <w:rPr/>
      </w:pP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  <w:szCs w:val="28"/>
        </w:rPr>
        <w:t xml:space="preserve">Главы города Шарыпово </w:t>
        <w:tab/>
        <w:t xml:space="preserve">                                                      Н.А. Петровская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rPr/>
      </w:pPr>
      <w:r>
        <w:rPr/>
      </w:r>
    </w:p>
    <w:p>
      <w:pPr>
        <w:pStyle w:val="Normal"/>
        <w:shd w:val="clear" w:fill="FFFFFF"/>
        <w:spacing w:lineRule="atLeast" w:line="285"/>
        <w:jc w:val="right"/>
        <w:textAlignment w:val="baseline"/>
        <w:rPr/>
      </w:pPr>
      <w:r>
        <w:rPr>
          <w:spacing w:val="2"/>
        </w:rPr>
        <w:t>Приложение</w:t>
        <w:br/>
        <w:t>к постановлению Администрации</w:t>
        <w:br/>
        <w:t xml:space="preserve">города Шарыпово </w:t>
      </w:r>
    </w:p>
    <w:p>
      <w:pPr>
        <w:pStyle w:val="Normal"/>
        <w:shd w:val="clear" w:fill="FFFFFF"/>
        <w:spacing w:lineRule="atLeast" w:line="285"/>
        <w:jc w:val="right"/>
        <w:textAlignment w:val="baseline"/>
        <w:rPr/>
      </w:pPr>
      <w:r>
        <w:rPr>
          <w:spacing w:val="2"/>
        </w:rPr>
        <w:t xml:space="preserve">от </w:t>
      </w:r>
      <w:r>
        <w:rPr>
          <w:spacing w:val="2"/>
          <w:u w:val="none"/>
        </w:rPr>
        <w:t>12.08.2021</w:t>
      </w:r>
      <w:r>
        <w:rPr>
          <w:spacing w:val="2"/>
        </w:rPr>
        <w:t xml:space="preserve"> N </w:t>
      </w:r>
      <w:r>
        <w:rPr>
          <w:spacing w:val="2"/>
          <w:u w:val="none"/>
        </w:rPr>
        <w:t>162</w:t>
      </w:r>
    </w:p>
    <w:p>
      <w:pPr>
        <w:pStyle w:val="Normal"/>
        <w:shd w:val="clear" w:fill="FFFFFF"/>
        <w:spacing w:lineRule="atLeast" w:line="285"/>
        <w:jc w:val="center"/>
        <w:textAlignment w:val="baseline"/>
        <w:rPr/>
      </w:pPr>
      <w:r>
        <w:rPr/>
      </w:r>
    </w:p>
    <w:p>
      <w:pPr>
        <w:pStyle w:val="Normal"/>
        <w:shd w:val="clear" w:fill="FFFFFF"/>
        <w:spacing w:lineRule="atLeast" w:line="288"/>
        <w:jc w:val="center"/>
        <w:textAlignment w:val="baseline"/>
        <w:rPr/>
      </w:pPr>
      <w:r>
        <w:rPr>
          <w:spacing w:val="2"/>
        </w:rPr>
        <w:t>ПРОГНОЗ</w:t>
        <w:br/>
        <w:t>социально-экономического развития муниципального образования города Шарыпово на 2022 год и плановый период 2023 и 2024</w:t>
      </w:r>
      <w:r>
        <w:rPr/>
        <w:t xml:space="preserve"> годов</w:t>
      </w:r>
    </w:p>
    <w:tbl>
      <w:tblPr>
        <w:tblW w:w="15090" w:type="dxa"/>
        <w:jc w:val="left"/>
        <w:tblInd w:w="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4162"/>
        <w:gridCol w:w="1020"/>
        <w:gridCol w:w="1533"/>
        <w:gridCol w:w="1559"/>
        <w:gridCol w:w="1560"/>
        <w:gridCol w:w="1491"/>
        <w:gridCol w:w="1483"/>
        <w:gridCol w:w="1609"/>
      </w:tblGrid>
      <w:tr>
        <w:trPr>
          <w:trHeight w:val="751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п/п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Ед. изм.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                                  2019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                                 2020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Оценка                                 2021 года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Прогноз                                  2022 года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Прогноз                                  2023 года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Прогноз                                  2024 года</w:t>
            </w:r>
          </w:p>
        </w:tc>
      </w:tr>
      <w:tr>
        <w:trPr>
          <w:trHeight w:val="622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Численность постоянного населения (среднегодовая)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46 084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45 860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45 523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4 5194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44 876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44 578</w:t>
            </w:r>
          </w:p>
        </w:tc>
      </w:tr>
      <w:tr>
        <w:trPr>
          <w:trHeight w:val="715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297 242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385 341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643 251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291 530,97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495 795,91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268 842,25</w:t>
            </w:r>
          </w:p>
        </w:tc>
      </w:tr>
      <w:tr>
        <w:trPr>
          <w:trHeight w:val="943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2.1</w:t>
            </w:r>
          </w:p>
        </w:tc>
        <w:tc>
          <w:tcPr>
            <w:tcW w:w="41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Темп роста объема инвестиций в основной капитал за счет всех источников финансирования в сопоставимых ценах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%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113,02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123,89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158,85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43,04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161,20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51,35</w:t>
            </w:r>
          </w:p>
        </w:tc>
      </w:tr>
      <w:tr>
        <w:trPr>
          <w:trHeight w:val="678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Сальдированный финансовый результат (прибыль - убыток)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-166 804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14 236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14 692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15 058,84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15 856,96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17 204,80</w:t>
            </w:r>
          </w:p>
        </w:tc>
      </w:tr>
      <w:tr>
        <w:trPr>
          <w:trHeight w:val="842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Протяженность автомобильных дорог общего пользования всех форм собственности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км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208,10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208,10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208,10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208,10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208,10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208,10</w:t>
            </w:r>
          </w:p>
        </w:tc>
      </w:tr>
      <w:tr>
        <w:trPr>
          <w:trHeight w:val="480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Индекс потребительских цен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%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105,0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i/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i/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i/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i/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i/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</w:r>
          </w:p>
        </w:tc>
      </w:tr>
      <w:tr>
        <w:trPr>
          <w:trHeight w:val="478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Индекс промышленного</w:t>
            </w:r>
          </w:p>
          <w:p>
            <w:pPr>
              <w:pStyle w:val="Normal"/>
              <w:rPr/>
            </w:pP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производства (C, D, E)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%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39,74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97,60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97,88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98,03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98,08</w:t>
            </w:r>
          </w:p>
        </w:tc>
      </w:tr>
      <w:tr>
        <w:trPr>
          <w:trHeight w:val="807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1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Фонд заработной платы, начисленный работникам списочного состава и внешним совместителям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2 975 513,50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3 080 676,30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3 293 691,10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3 499 321,9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3 724 796,30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3 972 246,70</w:t>
            </w:r>
          </w:p>
        </w:tc>
      </w:tr>
      <w:tr>
        <w:trPr>
          <w:trHeight w:val="409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7.1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Тем роста фонда заработной платы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%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106,83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103,53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106,91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106,24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106,44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106,64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Объем платных услуг, оказанных населению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     руб.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1 349 098,22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1 268152,33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1 392204,78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1 507817,36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1 614982,76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1 729764,76</w:t>
            </w:r>
          </w:p>
        </w:tc>
      </w:tr>
      <w:tr>
        <w:trPr>
          <w:trHeight w:val="846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8.1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Темп роста объема платных услуг, оказанных населению в сопоставимых, ценах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%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90,52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107,00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103,65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102,80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102,80</w:t>
            </w:r>
          </w:p>
        </w:tc>
      </w:tr>
      <w:tr>
        <w:trPr>
          <w:trHeight w:val="567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Оборот розничной торговли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7 171 774,10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7 258 607,60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7 784 433,70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8 374 801,20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8 897 266,70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9 361 351,20</w:t>
            </w:r>
          </w:p>
        </w:tc>
      </w:tr>
      <w:tr>
        <w:trPr>
          <w:trHeight w:val="68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9.1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Темп роста оборота розничной торговли в сопоставимых ценах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%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101,30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97,75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100,51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103,75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102,25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101,27</w:t>
            </w:r>
          </w:p>
        </w:tc>
      </w:tr>
      <w:tr>
        <w:trPr>
          <w:trHeight w:val="836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Объем отгруженных товаров собственного производства, выполненных работ и услуг собственными силами (без субъектов малого предпринимательства)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1 319 438,40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949 995,65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983 245,50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1 033 391,02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1 090 227,53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1 157 821,64</w:t>
            </w:r>
          </w:p>
        </w:tc>
      </w:tr>
      <w:tr>
        <w:trPr>
          <w:trHeight w:val="550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10.1</w:t>
            </w:r>
          </w:p>
        </w:tc>
        <w:tc>
          <w:tcPr>
            <w:tcW w:w="41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Темп роста объема отгруженных товаров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%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87,66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71,94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103,58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105,10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105,50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106,20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720" w:gutter="0" w:header="0" w:top="1135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20"/>
      </w:pPr>
      <w:rPr>
        <w:b w:val="false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/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WW8Num1z0">
    <w:name w:val="WW8Num1z0"/>
    <w:qFormat/>
    <w:rPr>
      <w:sz w:val="28"/>
      <w:szCs w:val="28"/>
    </w:rPr>
  </w:style>
  <w:style w:type="character" w:styleId="WW8Num2z0">
    <w:name w:val="WW8Num2z0"/>
    <w:qFormat/>
    <w:rPr>
      <w:b w:val="false"/>
    </w:rPr>
  </w:style>
  <w:style w:type="character" w:styleId="WW8Num2z1">
    <w:name w:val="WW8Num2z1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4">
    <w:name w:val="Основной шрифт абзаца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4z0">
    <w:name w:val="WW8Num4z0"/>
    <w:qFormat/>
    <w:rPr>
      <w:b w:val="false"/>
    </w:rPr>
  </w:style>
  <w:style w:type="character" w:styleId="WW8Num4z1">
    <w:name w:val="WW8Num4z1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8z0">
    <w:name w:val="WW8Num8z0"/>
    <w:qFormat/>
    <w:rPr>
      <w:color w:val="2D2D2D"/>
      <w:sz w:val="28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1">
    <w:name w:val="Основной шрифт абзаца1"/>
    <w:qFormat/>
    <w:rPr/>
  </w:style>
  <w:style w:type="character" w:styleId="Hyperlink">
    <w:name w:val="Hyperlink"/>
    <w:rPr>
      <w:color w:val="000080"/>
      <w:u w:val="single"/>
      <w:lang w:val="zxx" w:bidi="zxx"/>
    </w:rPr>
  </w:style>
  <w:style w:type="character" w:styleId="Style15">
    <w:name w:val="Текст выноски Знак"/>
    <w:qFormat/>
    <w:rPr>
      <w:rFonts w:ascii="Segoe UI" w:hAnsi="Segoe UI" w:cs="Segoe UI"/>
      <w:sz w:val="18"/>
      <w:szCs w:val="18"/>
      <w:lang w:eastAsia="zh-CN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192"/>
      <w:jc w:val="center"/>
    </w:pPr>
    <w:rPr>
      <w:sz w:val="30"/>
    </w:rPr>
  </w:style>
  <w:style w:type="paragraph" w:styleId="List">
    <w:name w:val="List"/>
    <w:basedOn w:val="BodyText"/>
    <w:pPr/>
    <w:rPr>
      <w:rFonts w:cs="Lohit Devanagari;Times New Roma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1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Noto Sans CJK SC" w:cs="Lohit Devanagari;Times New Roman"/>
      <w:sz w:val="28"/>
      <w:szCs w:val="28"/>
    </w:rPr>
  </w:style>
  <w:style w:type="paragraph" w:styleId="Style18">
    <w:name w:val="Название объекта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Lohit Devanagari;Times New Roman"/>
    </w:rPr>
  </w:style>
  <w:style w:type="paragraph" w:styleId="Style19">
    <w:name w:val="Пункт_пост"/>
    <w:basedOn w:val="Normal"/>
    <w:qFormat/>
    <w:pPr>
      <w:numPr>
        <w:ilvl w:val="0"/>
        <w:numId w:val="3"/>
      </w:numPr>
      <w:spacing w:before="120" w:after="0"/>
      <w:jc w:val="both"/>
    </w:pPr>
    <w:rPr>
      <w:sz w:val="26"/>
    </w:rPr>
  </w:style>
  <w:style w:type="paragraph" w:styleId="Style20">
    <w:name w:val="Заголовок_пост"/>
    <w:basedOn w:val="Normal"/>
    <w:qFormat/>
    <w:pPr>
      <w:tabs>
        <w:tab w:val="clear" w:pos="708"/>
        <w:tab w:val="left" w:pos="10440" w:leader="none"/>
      </w:tabs>
      <w:ind w:hanging="0" w:left="720" w:right="4627"/>
    </w:pPr>
    <w:rPr>
      <w:sz w:val="26"/>
    </w:rPr>
  </w:style>
  <w:style w:type="paragraph" w:styleId="Style21">
    <w:name w:val="Абзац_пост"/>
    <w:basedOn w:val="Normal"/>
    <w:qFormat/>
    <w:pPr>
      <w:spacing w:before="120" w:after="0"/>
      <w:ind w:firstLine="720" w:left="0" w:right="0"/>
      <w:jc w:val="both"/>
    </w:pPr>
    <w:rPr>
      <w:sz w:val="26"/>
    </w:rPr>
  </w:style>
  <w:style w:type="paragraph" w:styleId="Style22">
    <w:name w:val="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23">
    <w:name w:val="Рассылка"/>
    <w:basedOn w:val="Normal"/>
    <w:qFormat/>
    <w:pPr>
      <w:tabs>
        <w:tab w:val="clear" w:pos="708"/>
        <w:tab w:val="left" w:pos="2160" w:leader="none"/>
      </w:tabs>
      <w:ind w:hanging="1440" w:left="2160" w:right="0"/>
      <w:jc w:val="both"/>
    </w:pPr>
    <w:rPr>
      <w:sz w:val="26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color w:val="auto"/>
      <w:kern w:val="0"/>
      <w:sz w:val="16"/>
      <w:szCs w:val="20"/>
      <w:lang w:val="ru-RU" w:eastAsia="zh-CN" w:bidi="ar-SA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Style26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355</TotalTime>
  <Application>LibreOffice/7.6.4.1$Windows_X86_64 LibreOffice_project/e19e193f88cd6c0525a17fb7a176ed8e6a3e2aa1</Application>
  <AppVersion>15.0000</AppVersion>
  <Pages>3</Pages>
  <Words>490</Words>
  <Characters>2801</Characters>
  <CharactersWithSpaces>3516</CharactersWithSpaces>
  <Paragraphs>152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2020-08-11T11:38:00Z</dcterms:created>
  <dc:creator>user</dc:creator>
  <dc:description/>
  <dc:language>ru-RU</dc:language>
  <cp:lastModifiedBy/>
  <cp:lastPrinted>2021-08-11T15:10:00Z</cp:lastPrinted>
  <dcterms:modified xsi:type="dcterms:W3CDTF">2021-08-17T10:57:02Z</dcterms:modified>
  <cp:revision>14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