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bookmarkStart w:id="0" w:name="_Hlk17090030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Проверка законности и </w:t>
      </w:r>
      <w:r>
        <w:rPr>
          <w:rFonts w:cs="Times New Roman" w:ascii="Times New Roman" w:hAnsi="Times New Roman"/>
          <w:iCs/>
          <w:sz w:val="28"/>
          <w:szCs w:val="28"/>
        </w:rPr>
        <w:t>результативности использования средств, выделенных Муниципальному казенному учреждению «Центр бухгалтерского учета и отчетности</w:t>
      </w:r>
      <w:r>
        <w:rPr>
          <w:rFonts w:cs="Times New Roman" w:ascii="Times New Roman" w:hAnsi="Times New Roman"/>
          <w:sz w:val="28"/>
          <w:szCs w:val="28"/>
        </w:rPr>
        <w:t xml:space="preserve"> г.Шарыпово»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20.12.2011г. № 25-175 «О Контрольно-счётной палате города Шарыпово», Приказ Контрольно-счётной палаты города Шарыпово от 31.05.2024г. № 20 «О проведении контрольного мероприятия», пункт 1.3. раздела «контрольная деятельность» плана работы Контрольно-счётной палаты города Шарыпово на 2024 год, утверждённого Приказом Контрольно-счётной палаты города Шарыпово от 13.12.2023г. № 26.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1.3. Цель контрольного мероприятия: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Проверка финансово-хозяйственной деятельности за период с 01.01.2023г. по 31.12.2023г.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1.4. </w:t>
      </w:r>
      <w:r>
        <w:rPr>
          <w:rFonts w:cs="Times New Roman" w:ascii="Times New Roman" w:hAnsi="Times New Roman"/>
          <w:b/>
          <w:sz w:val="28"/>
          <w:szCs w:val="28"/>
        </w:rPr>
        <w:t>Объект (объекты)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казенное учреждение «Центр бухгалтерского учета и отчетности города Шарыпово» (далее –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МКУ «ЦБУиО г.Шарыпово»</w:t>
      </w:r>
      <w:r>
        <w:rPr>
          <w:rFonts w:cs="Times New Roman" w:ascii="Times New Roman" w:hAnsi="Times New Roman"/>
          <w:sz w:val="28"/>
          <w:szCs w:val="28"/>
        </w:rPr>
        <w:t>, Учреждение).</w:t>
      </w:r>
    </w:p>
    <w:p>
      <w:pPr>
        <w:pStyle w:val="ConsNormal1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ConsNormal1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1.5. Проверяемый период: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 01.01.2023 года по 31.12.2023 года.</w:t>
      </w:r>
    </w:p>
    <w:p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Срок проведения контрольного мероприятия: </w:t>
      </w:r>
    </w:p>
    <w:p>
      <w:pPr>
        <w:pStyle w:val="Default"/>
        <w:ind w:firstLine="709"/>
        <w:jc w:val="both"/>
        <w:rPr>
          <w:sz w:val="28"/>
          <w:szCs w:val="28"/>
        </w:rPr>
      </w:pPr>
      <w:bookmarkStart w:id="1" w:name="_Hlk170900352"/>
      <w:r>
        <w:rPr>
          <w:bCs/>
          <w:sz w:val="28"/>
          <w:szCs w:val="28"/>
        </w:rPr>
        <w:t>с 05</w:t>
      </w:r>
      <w:r>
        <w:rPr>
          <w:sz w:val="28"/>
          <w:szCs w:val="28"/>
        </w:rPr>
        <w:t xml:space="preserve">.06.2024 года по 31.07.2024 года. </w:t>
      </w:r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   В результате проведенного контрольного мероприятия выявлены нарушения:</w:t>
      </w:r>
    </w:p>
    <w:p>
      <w:pPr>
        <w:pStyle w:val="ListParagraph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Согласно отчетным данным, бюджетные назначения по расходам на 2023 год доведены в сумме 12 142 279,27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рублей, исполнены на 99,76% или составили 12 113 402,61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>
      <w:pPr>
        <w:pStyle w:val="Western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2. Исполнение по о</w:t>
      </w:r>
      <w:r>
        <w:rPr>
          <w:bCs/>
          <w:color w:val="000000"/>
          <w:sz w:val="28"/>
          <w:szCs w:val="28"/>
        </w:rPr>
        <w:t>плате труда и начислению на оплату труда</w:t>
      </w:r>
      <w:r>
        <w:rPr>
          <w:rFonts w:eastAsia="Calibri"/>
          <w:sz w:val="28"/>
          <w:szCs w:val="28"/>
        </w:rPr>
        <w:t xml:space="preserve"> за отчётный период составило 100%, из них: з</w:t>
      </w:r>
      <w:r>
        <w:rPr>
          <w:color w:val="000000"/>
          <w:sz w:val="28"/>
          <w:szCs w:val="28"/>
        </w:rPr>
        <w:t>аработная плата – 100%; начисление на оплату труда – 100%, удельный вес в общих расходах Учреждения, составил – 91,5%.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3. Учреждением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для размещения информации об учреждениях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www.bus.gov.ru</w:t>
        </w:r>
      </w:hyperlink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, нарушение пункта 18 Приказа № 86н от 21.07.2011г.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4. Нарушение трудового законодательства в части: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rStyle w:val="Hyperlink"/>
          <w:color w:val="000000"/>
          <w:sz w:val="28"/>
          <w:szCs w:val="28"/>
          <w:u w:val="none"/>
        </w:rPr>
        <w:t xml:space="preserve">4.1. ст. 57 Трудового кодекса РФ в трудовом договоре </w:t>
      </w:r>
      <w:r>
        <w:rPr>
          <w:sz w:val="28"/>
          <w:szCs w:val="28"/>
        </w:rPr>
        <w:t>в трудовом договоре не указаны: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 налогоплательщика (работодателя), у сотрудников;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документах, удостоверяющих личность работника;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указано место и дата заключения трудового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4.2. ст. 67 Трудового кодекса РФ: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отсутствует п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одпись работника о получении экземпляра трудового договора у 15 сотрудников.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- в</w:t>
      </w:r>
      <w:r>
        <w:rPr>
          <w:rFonts w:cs="Times New Roman" w:ascii="Times New Roman" w:hAnsi="Times New Roman"/>
          <w:sz w:val="28"/>
          <w:szCs w:val="28"/>
        </w:rPr>
        <w:t xml:space="preserve"> личном деле сотрудника отсутствует трудовой договор или дополнительное соглашение на должность главного бухгалтера.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4.3.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Иные замечания (по тексту Акта).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Нарушение Инструкции по бюджетному учету утвержденная приказом Минфина России от 01.12.2010г. № 157н и Учетной политики Учреждения:</w:t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Cs/>
          <w:sz w:val="28"/>
          <w:szCs w:val="28"/>
        </w:rPr>
        <w:t>- не установлен перечень объектов основных средств, на которые не наносятся инвентарные</w:t>
      </w:r>
      <w:r>
        <w:rPr>
          <w:rStyle w:val="Hyperlink"/>
          <w:rFonts w:cs="Times New Roman" w:ascii="Times New Roman" w:hAnsi="Times New Roman"/>
          <w:bCs/>
          <w:color w:val="000000"/>
          <w:sz w:val="28"/>
          <w:szCs w:val="28"/>
          <w:u w:val="none"/>
        </w:rPr>
        <w:t xml:space="preserve"> номера (пункт 46 Инструкции по бюджетному учету № 157н);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порядок осуществления внутреннего финансового контроля (приложение № 3 к Учетной политике) содержит не предусмотренный БК РФ вид финансового контроля – «текущий контроль»;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установлены разночтения в нормативно – правовых актах внутреннего финансового контроля Учреждения;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не проводилась инвентаризация имущества, учтенного на забалансовых счетах (нарушение п. 3.1 приложения 7 Учетной политики);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не обеспечено в полной мере хранение предоставленных (сформированных) первичных учетных документов в соответствии с правилами организации государственного архивного дела в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 В нарушение п. 2.5 Учетной политики - в Учреждении присвоенные инвентарные номера, не соответствуют требованиям установленным данным пунктом Учетной политики.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7. </w:t>
      </w:r>
      <w:r>
        <w:rPr>
          <w:rFonts w:cs="Times New Roman" w:ascii="Times New Roman" w:hAnsi="Times New Roman"/>
          <w:bCs/>
          <w:iCs/>
          <w:sz w:val="28"/>
          <w:szCs w:val="28"/>
          <w:lang w:bidi="ru-RU"/>
        </w:rPr>
        <w:t xml:space="preserve">При определении амортизации в учреждении не учтены положения </w:t>
      </w:r>
      <w:hyperlink r:id="rId3">
        <w:r>
          <w:rPr>
            <w:rFonts w:cs="Times New Roman" w:ascii="Times New Roman" w:hAnsi="Times New Roman"/>
            <w:bCs/>
            <w:iCs/>
            <w:sz w:val="28"/>
            <w:szCs w:val="28"/>
            <w:lang w:bidi="ru-RU"/>
          </w:rPr>
          <w:t>пп. "б" п. 39</w:t>
        </w:r>
      </w:hyperlink>
      <w:r>
        <w:rPr>
          <w:rFonts w:cs="Times New Roman" w:ascii="Times New Roman" w:hAnsi="Times New Roman"/>
          <w:bCs/>
          <w:iCs/>
          <w:sz w:val="28"/>
          <w:szCs w:val="28"/>
          <w:lang w:bidi="ru-RU"/>
        </w:rPr>
        <w:t xml:space="preserve"> Федерального стандарта № 257н  и </w:t>
      </w:r>
      <w:hyperlink r:id="rId4">
        <w:r>
          <w:rPr>
            <w:rFonts w:cs="Times New Roman" w:ascii="Times New Roman" w:hAnsi="Times New Roman"/>
            <w:bCs/>
            <w:iCs/>
            <w:sz w:val="28"/>
            <w:szCs w:val="28"/>
            <w:lang w:bidi="ru-RU"/>
          </w:rPr>
          <w:t>абз. 3 п. 39</w:t>
        </w:r>
      </w:hyperlink>
      <w:r>
        <w:rPr>
          <w:rFonts w:cs="Times New Roman" w:ascii="Times New Roman" w:hAnsi="Times New Roman"/>
          <w:bCs/>
          <w:iCs/>
          <w:sz w:val="28"/>
          <w:szCs w:val="28"/>
          <w:lang w:bidi="ru-RU"/>
        </w:rPr>
        <w:t xml:space="preserve"> ФСБУ ОГС «Основные средства», начислена амортизация на 16 объектов основных средств до 10 000 руб.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8. В нарушение требований, установленных Приказом Минфина России от 15.04.2021 № 61н,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 заполняются или заполняются частично обязательные реквизиты и показатели в инвентарных карточках, а именно: местонахождение объекта, с</w:t>
      </w:r>
      <w:r>
        <w:rPr>
          <w:rFonts w:cs="Times New Roman" w:ascii="Times New Roman" w:hAnsi="Times New Roman"/>
          <w:sz w:val="28"/>
          <w:szCs w:val="28"/>
        </w:rPr>
        <w:t xml:space="preserve">ведения о принятии объекта к учету и о выбытии объекта,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краткая индивидуальная характеристика объекта, стоимость объекта, изменение стоимости, начисление амортизации, информация о начисленной амортизации.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9. В н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арушение </w:t>
      </w:r>
      <w:r>
        <w:rPr>
          <w:rFonts w:cs="Times New Roman" w:ascii="Times New Roman" w:hAnsi="Times New Roman"/>
          <w:bCs/>
          <w:iCs/>
          <w:sz w:val="28"/>
          <w:szCs w:val="28"/>
        </w:rPr>
        <w:t>ст. 9 Федерального закона № 402-ФЗ от 06.12.2011г</w:t>
      </w:r>
      <w:r>
        <w:rPr>
          <w:rFonts w:cs="Times New Roman" w:ascii="Times New Roman" w:hAnsi="Times New Roman"/>
          <w:sz w:val="28"/>
          <w:szCs w:val="28"/>
        </w:rPr>
        <w:t xml:space="preserve">. «О бухгалтерском учете»: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акты на списание материальных запасов (ф.0504230) оформляются без указания нормы расходов;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 </w:t>
      </w:r>
      <w:hyperlink r:id="rId5">
        <w:r>
          <w:rPr>
            <w:rFonts w:eastAsia="Calibri" w:cs="Times New Roman" w:ascii="Times New Roman" w:hAnsi="Times New Roman"/>
            <w:sz w:val="28"/>
            <w:szCs w:val="28"/>
          </w:rPr>
          <w:t>поле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«Заключение комиссии» – не указана конкретная причина списания материальных запасов.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10.</w:t>
      </w:r>
      <w:r>
        <w:rPr>
          <w:rFonts w:cs="Times New Roman" w:ascii="Times New Roman" w:hAnsi="Times New Roman"/>
          <w:sz w:val="28"/>
          <w:szCs w:val="28"/>
        </w:rPr>
        <w:t xml:space="preserve"> В </w:t>
      </w:r>
      <w:r>
        <w:rPr>
          <w:rFonts w:cs="Times New Roman" w:ascii="Times New Roman" w:hAnsi="Times New Roman"/>
          <w:bCs/>
          <w:sz w:val="28"/>
          <w:szCs w:val="28"/>
        </w:rPr>
        <w:t>Положение о постоянно действующей комиссии по поступлению и выбытию активов, установлены разночтения, необходимо привести документы к единым требованиям и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11. Основные средства в Учреждении по забалансовому счету 21, ведутся по балансовой стоимости, что противоречит п. 9.8 Учетной политики.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12. В нарушение </w:t>
      </w:r>
      <w:hyperlink r:id="rId6">
        <w:r>
          <w:rPr>
            <w:rFonts w:cs="Times New Roman" w:ascii="Times New Roman" w:hAnsi="Times New Roman"/>
            <w:bCs/>
            <w:sz w:val="28"/>
            <w:szCs w:val="28"/>
          </w:rPr>
          <w:t>п. 374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Инструкции № 157н, п. 14.9 Учетной политики, забалансовый счет 21 не разделен по группам.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13. Установлены нарушения при заполнении показателей в путевых листах.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14. Списание ГСМ проводилось выше норм расхода топлива автомобиля, установленных приказом руководителя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15. В проверяемом периоде внутренний финансовый контроль не осуществлялся.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Выявленные в ходе настоящей проверки нарушения свидетельствуют о недостаточном внутреннем финансовом контроле и аудите, таким образом, в Учреждении существуют риски неэффективного ведения финансово-хозяйственной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Шарыпово: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Оперативно обновлять и поддерживать в актуальном состоянии сведений об учреждении на официальном сайте Российской Федерации для размещения информации об учреждениях </w:t>
      </w:r>
      <w:hyperlink r:id="rId7">
        <w:r>
          <w:rPr>
            <w:rStyle w:val="Hyperlink"/>
            <w:rFonts w:cs="Times New Roman" w:ascii="Times New Roman" w:hAnsi="Times New Roman"/>
            <w:bCs/>
            <w:color w:val="000000"/>
            <w:sz w:val="28"/>
            <w:szCs w:val="28"/>
            <w:u w:val="none"/>
          </w:rPr>
          <w:t>www.bus.gov.ru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2. Повысить уровень ответственности и дисциплину работников, принимающих участие в сфере планирования и осуществления закупок.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</w:t>
      </w:r>
      <w:r>
        <w:rPr>
          <w:rFonts w:cs="Times New Roman" w:ascii="Times New Roman" w:hAnsi="Times New Roman"/>
          <w:bCs/>
          <w:sz w:val="28"/>
          <w:szCs w:val="28"/>
        </w:rPr>
        <w:t>ринять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меры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 приведению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 нормативно-правовых и учетных документов в соответствие с действующим законодательством РФ, нормативно-правовыми актами Администрации, Устава и другими локальными актами Учреждения.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4. В Учетной политике уточнить порядковую нумерацию пунктов в пределах разделов (хаотичная нумерация).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Обеспечивать соблюдение требований 402-ФЗ «О бухгалтерском учете».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 Привести в соответствие трудовые договора и дополнительные соглашения к ним.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7. Принять меры к должностным лицам, допустившим вышеуказанные нарушения.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>8. Учесть иные замечания и недостатки, отмеченные в акте контрольного мероприятия.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>
        <w:rPr>
          <w:rFonts w:cs="Times New Roman" w:ascii="Times New Roman" w:hAnsi="Times New Roman"/>
          <w:color w:val="04092A"/>
          <w:sz w:val="28"/>
          <w:szCs w:val="28"/>
        </w:rPr>
        <w:t xml:space="preserve">9. </w:t>
      </w:r>
      <w:r>
        <w:rPr>
          <w:rFonts w:cs="Times New Roman" w:ascii="Times New Roman" w:hAnsi="Times New Roman"/>
          <w:color w:val="000000"/>
          <w:sz w:val="28"/>
          <w:szCs w:val="28"/>
        </w:rPr>
        <w:t>Рассмотреть акт проверки Контрольно-счетной палаты провести анализ всех допущенных нарушений и несоответствий, разработать и утвердить план мероприятий по их устранению и недопущению впредь, направить его в контрольно-счетную палату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Проводить </w:t>
      </w:r>
      <w:r>
        <w:rPr>
          <w:rFonts w:cs="Times New Roman" w:ascii="Times New Roman" w:hAnsi="Times New Roman"/>
          <w:spacing w:val="-1"/>
          <w:sz w:val="28"/>
          <w:szCs w:val="28"/>
        </w:rPr>
        <w:t>внутренний финансовый контроль, усилить контроль со стороны Учредителя.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Необходимо принимать</w:t>
      </w:r>
      <w:r>
        <w:rPr>
          <w:rFonts w:cs="Times New Roman" w:ascii="Times New Roman" w:hAnsi="Times New Roman"/>
          <w:sz w:val="28"/>
          <w:szCs w:val="28"/>
        </w:rPr>
        <w:t xml:space="preserve"> меры как корректирующего, так и предупреждающего характера, должно осуществляться не только выявление, но и пресечение (недопущение)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Направить информационные письма по результатам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Главе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Шарыповский городской Совет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 xml:space="preserve">4. Разногласия и принятые меры: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Учреждением разногласия не предоставлены.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character" w:styleId="ConsNormal" w:customStyle="1">
    <w:name w:val="ConsNormal Знак"/>
    <w:link w:val="ConsNormal1"/>
    <w:uiPriority w:val="99"/>
    <w:qFormat/>
    <w:locked/>
    <w:rsid w:val="00d51bbe"/>
    <w:rPr>
      <w:rFonts w:ascii="Arial" w:hAnsi="Arial" w:eastAsia="Arial" w:cs="Times New Roman"/>
      <w:sz w:val="20"/>
      <w:szCs w:val="20"/>
      <w:lang w:eastAsia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1" w:customStyle="1">
    <w:name w:val="ConsNormal"/>
    <w:link w:val="ConsNormal"/>
    <w:uiPriority w:val="99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Western" w:customStyle="1">
    <w:name w:val="western"/>
    <w:basedOn w:val="Normal"/>
    <w:qFormat/>
    <w:rsid w:val="00d51b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s://login.consultant.ru/link/?req=doc&amp;base=LAW&amp;n=344754&amp;dst=35" TargetMode="External"/><Relationship Id="rId4" Type="http://schemas.openxmlformats.org/officeDocument/2006/relationships/hyperlink" Target="https://login.consultant.ru/link/?req=doc&amp;base=LAW&amp;n=344754&amp;dst=35" TargetMode="External"/><Relationship Id="rId5" Type="http://schemas.openxmlformats.org/officeDocument/2006/relationships/hyperlink" Target="https://login.consultant.ru/link/?req=doc&amp;base=LAW&amp;n=362627&amp;dst=101372" TargetMode="External"/><Relationship Id="rId6" Type="http://schemas.openxmlformats.org/officeDocument/2006/relationships/hyperlink" Target="https://login.consultant.ru/link/?req=doc&amp;base=LAW&amp;n=364484&amp;dst=10909" TargetMode="External"/><Relationship Id="rId7" Type="http://schemas.openxmlformats.org/officeDocument/2006/relationships/hyperlink" Target="http://www.bus.gov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3</Pages>
  <Words>936</Words>
  <Characters>6498</Characters>
  <CharactersWithSpaces>7392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2024-08-22T08:06:00Z</dcterms:created>
  <dc:creator>User</dc:creator>
  <dc:description/>
  <dc:language>ru-RU</dc:language>
  <cp:lastModifiedBy>User</cp:lastModifiedBy>
  <cp:lastPrinted>2023-03-17T09:31:00Z</cp:lastPrinted>
  <dcterms:modified xsi:type="dcterms:W3CDTF">2024-08-22T08:06:00Z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